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ED4" w:rsidRDefault="008A0ED4" w:rsidP="00721994">
      <w:pPr>
        <w:ind w:left="1440" w:hanging="1440"/>
        <w:jc w:val="center"/>
      </w:pPr>
      <w:bookmarkStart w:id="0" w:name="_GoBack"/>
      <w:bookmarkEnd w:id="0"/>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rPr>
          <w:b/>
          <w:bCs/>
        </w:rPr>
      </w:pPr>
      <w:r w:rsidRPr="00721994">
        <w:rPr>
          <w:b/>
          <w:bCs/>
        </w:rPr>
        <w:t xml:space="preserve">DOCKET NO. </w:t>
      </w:r>
      <w:r w:rsidR="00B73108">
        <w:rPr>
          <w:b/>
          <w:bCs/>
        </w:rPr>
        <w:t>24505</w:t>
      </w:r>
    </w:p>
    <w:p w:rsidR="008A0ED4" w:rsidRPr="00721994" w:rsidRDefault="008A0ED4" w:rsidP="00721994">
      <w:pPr>
        <w:ind w:left="1440" w:hanging="1440"/>
        <w:jc w:val="center"/>
        <w:rPr>
          <w:b/>
          <w:bCs/>
        </w:rPr>
      </w:pPr>
    </w:p>
    <w:p w:rsidR="008A0ED4" w:rsidRDefault="008A0ED4" w:rsidP="00B65273">
      <w:pPr>
        <w:ind w:left="1440" w:hanging="1440"/>
        <w:rPr>
          <w:b/>
          <w:bCs/>
        </w:rPr>
      </w:pPr>
    </w:p>
    <w:p w:rsidR="00B73108" w:rsidRDefault="009737F0" w:rsidP="00B73108">
      <w:pPr>
        <w:ind w:left="1440" w:hanging="1440"/>
        <w:jc w:val="both"/>
      </w:pPr>
      <w:r>
        <w:rPr>
          <w:b/>
          <w:bCs/>
        </w:rPr>
        <w:t xml:space="preserve">IN </w:t>
      </w:r>
      <w:r w:rsidRPr="00721994">
        <w:rPr>
          <w:b/>
          <w:bCs/>
        </w:rPr>
        <w:t>R</w:t>
      </w:r>
      <w:r>
        <w:rPr>
          <w:b/>
          <w:bCs/>
        </w:rPr>
        <w:t>E</w:t>
      </w:r>
      <w:r w:rsidRPr="00721994">
        <w:rPr>
          <w:b/>
          <w:bCs/>
        </w:rPr>
        <w:t>:</w:t>
      </w:r>
      <w:r w:rsidRPr="00721994">
        <w:rPr>
          <w:b/>
          <w:bCs/>
        </w:rPr>
        <w:tab/>
      </w:r>
      <w:r>
        <w:rPr>
          <w:b/>
          <w:bCs/>
        </w:rPr>
        <w:t xml:space="preserve">GEORGIA POWER COMPANY’S </w:t>
      </w:r>
      <w:r w:rsidR="00B73108" w:rsidRPr="00B73108">
        <w:rPr>
          <w:b/>
        </w:rPr>
        <w:t>2007 INTEGRATED RESOURCE PLAN, RENEWABLE PROJECTS WITH 30 MW CAPACITY</w:t>
      </w:r>
    </w:p>
    <w:p w:rsidR="009737F0" w:rsidRDefault="009737F0" w:rsidP="009737F0">
      <w:pPr>
        <w:ind w:left="1440" w:hanging="1440"/>
        <w:rPr>
          <w:b/>
          <w:bCs/>
        </w:rPr>
      </w:pPr>
    </w:p>
    <w:p w:rsidR="009737F0" w:rsidRDefault="009737F0" w:rsidP="009737F0">
      <w:pPr>
        <w:ind w:left="1440"/>
        <w:rPr>
          <w:b/>
          <w:bCs/>
        </w:rPr>
      </w:pPr>
    </w:p>
    <w:p w:rsidR="008A0ED4" w:rsidRDefault="00891D26" w:rsidP="00B73108">
      <w:pPr>
        <w:ind w:left="1440" w:hanging="1440"/>
        <w:jc w:val="center"/>
        <w:rPr>
          <w:b/>
          <w:bCs/>
        </w:rPr>
      </w:pPr>
      <w:r w:rsidRPr="00891D26">
        <w:rPr>
          <w:b/>
          <w:bCs/>
        </w:rPr>
        <w:t xml:space="preserve">ORDER APPROVING </w:t>
      </w:r>
      <w:r w:rsidR="00B73108">
        <w:rPr>
          <w:b/>
        </w:rPr>
        <w:t>SOLAR PROJECTS AT ARMY BASES</w:t>
      </w:r>
    </w:p>
    <w:p w:rsidR="008A0ED4" w:rsidRDefault="008A0ED4" w:rsidP="00E575A4">
      <w:pPr>
        <w:jc w:val="both"/>
        <w:rPr>
          <w:b/>
          <w:bCs/>
        </w:rPr>
      </w:pPr>
    </w:p>
    <w:p w:rsidR="00893150" w:rsidRPr="007B0DCD" w:rsidRDefault="00EC6995" w:rsidP="00893150">
      <w:pPr>
        <w:ind w:left="1440" w:hanging="1440"/>
      </w:pPr>
      <w:r>
        <w:tab/>
      </w:r>
    </w:p>
    <w:p w:rsidR="00B73108" w:rsidRDefault="00B73108" w:rsidP="00A16AEB">
      <w:pPr>
        <w:pStyle w:val="BodyText"/>
        <w:spacing w:after="0" w:line="360" w:lineRule="auto"/>
        <w:ind w:firstLine="720"/>
        <w:jc w:val="both"/>
      </w:pPr>
      <w:r>
        <w:t xml:space="preserve">On July 21, 2014, Georgia Power </w:t>
      </w:r>
      <w:r w:rsidRPr="006C0C6C">
        <w:t xml:space="preserve">Company (“Georgia Power” or “Company”) </w:t>
      </w:r>
      <w:r>
        <w:t xml:space="preserve">filed with the Georgia Public Service Commission (“Commission”) a letter describing three photovoltaic (“PV”) </w:t>
      </w:r>
      <w:r w:rsidR="00D12BF4">
        <w:t>facilities</w:t>
      </w:r>
      <w:r>
        <w:t xml:space="preserve">, sized at or below 30 megawatts (“MW”) Alternating Current that will be constructed at three United States Army (“Army”) installations served by the Company. These installations include Fort </w:t>
      </w:r>
      <w:proofErr w:type="spellStart"/>
      <w:r>
        <w:t>Benning</w:t>
      </w:r>
      <w:proofErr w:type="spellEnd"/>
      <w:r>
        <w:t>, Fort Gordon, and Fort Stewart.  The Company first made the Commission aware of these solar projects through its Update to the Renewable Action Plan and Time Table filed on May 15, 2014.  In this report, the Company identified the projects as cost-effective renewable projects to be placed into rate base as approved by the Commission in its Final Order (“Order”) for Docket No. 24505, Georgia Power Company’s 2007 Integrated Resource Plan (“IRP”).</w:t>
      </w:r>
    </w:p>
    <w:p w:rsidR="00B73108" w:rsidRDefault="003A58A0" w:rsidP="00A16AEB">
      <w:pPr>
        <w:pStyle w:val="BodyText"/>
        <w:spacing w:after="0" w:line="360" w:lineRule="auto"/>
        <w:ind w:firstLine="720"/>
        <w:jc w:val="both"/>
      </w:pPr>
      <w:r>
        <w:t xml:space="preserve">In the 2007 IRP Order, the Commission found the Company’s proposal to develop cost-effective renewable resources to be reasonable. The Company specifically proposed </w:t>
      </w:r>
      <w:r w:rsidRPr="003A58A0">
        <w:t xml:space="preserve">to </w:t>
      </w:r>
      <w:r>
        <w:t>“</w:t>
      </w:r>
      <w:r w:rsidRPr="003A58A0">
        <w:t>develop no more than three cost-effective renewable projects with Company ownership of less than 30 MWs each and place the investment in rate base without seeking certification of the resources.</w:t>
      </w:r>
      <w:r>
        <w:t xml:space="preserve">” </w:t>
      </w:r>
      <w:r w:rsidR="00B73108">
        <w:t xml:space="preserve">The 2007 IRP Order </w:t>
      </w:r>
      <w:r>
        <w:t xml:space="preserve">also required that </w:t>
      </w:r>
      <w:r w:rsidR="00B73108">
        <w:t>such projects must be equal to or less than the Company’s projected avoided cost</w:t>
      </w:r>
      <w:r w:rsidR="003D27F9">
        <w:t>s</w:t>
      </w:r>
      <w:r w:rsidR="00B73108">
        <w:t xml:space="preserve">. To demonstrate that the projects meet the Commission’s requirement of being at or below the Company’s avoided </w:t>
      </w:r>
      <w:proofErr w:type="gramStart"/>
      <w:r w:rsidR="00B73108">
        <w:t>cost</w:t>
      </w:r>
      <w:r w:rsidR="003D27F9">
        <w:t>s</w:t>
      </w:r>
      <w:r w:rsidR="00B73108">
        <w:t>,</w:t>
      </w:r>
      <w:proofErr w:type="gramEnd"/>
      <w:r w:rsidR="00B73108">
        <w:t xml:space="preserve"> the Company provided a Project Description </w:t>
      </w:r>
      <w:r w:rsidR="00B73108">
        <w:lastRenderedPageBreak/>
        <w:t xml:space="preserve">and Costs Summary, which was provided as a Trade Secret Appendix A to the July 21 filing.  To assist the Commission Staff (“Staff”) in the economic and technical review of the proposed projects, the Commission employed La Capra Associates, </w:t>
      </w:r>
      <w:proofErr w:type="spellStart"/>
      <w:r w:rsidR="00B73108">
        <w:t>Inc</w:t>
      </w:r>
      <w:proofErr w:type="spellEnd"/>
      <w:r w:rsidR="00B73108">
        <w:t xml:space="preserve"> (“La Capra”).</w:t>
      </w:r>
    </w:p>
    <w:p w:rsidR="00B73108" w:rsidRDefault="00B73108" w:rsidP="00A16AEB">
      <w:pPr>
        <w:spacing w:line="360" w:lineRule="auto"/>
        <w:ind w:firstLine="720"/>
        <w:jc w:val="both"/>
      </w:pPr>
      <w:r>
        <w:t xml:space="preserve">On </w:t>
      </w:r>
      <w:r w:rsidRPr="00A136E1">
        <w:t>March</w:t>
      </w:r>
      <w:r w:rsidRPr="00A136E1">
        <w:rPr>
          <w:b/>
        </w:rPr>
        <w:t xml:space="preserve"> </w:t>
      </w:r>
      <w:r w:rsidRPr="00A136E1">
        <w:t>6,</w:t>
      </w:r>
      <w:r>
        <w:t xml:space="preserve"> 2014, the Company entered into a Memorandum of Understanding (“MOU”), a non-binding agreement, with the Army with the aim of furthering the Army’s renewable energy, climate action and energy security goals. In the MOU, both parties “agree to use best efforts to cooperate by sharing non-confidential information towards the potential of developing one or more GPC renewable energy projects located at Army installations pursuant to GPC’s regulated utility service.”  The MOU cites the plans of the Army Energy Initiatives Task Force (“EITF”) to develop a “cost-effective portfolio of large-scale, renewable energy projects by leveraging private sector financing.”  The objectives of the EITF are to further the Army’s energy security and sustainable energy goals.  </w:t>
      </w:r>
    </w:p>
    <w:p w:rsidR="00B73108" w:rsidRDefault="00B73108" w:rsidP="00A16AEB">
      <w:pPr>
        <w:spacing w:line="360" w:lineRule="auto"/>
        <w:ind w:firstLine="720"/>
        <w:jc w:val="both"/>
      </w:pPr>
      <w:r>
        <w:t>All three PV (</w:t>
      </w:r>
      <w:proofErr w:type="spellStart"/>
      <w:r>
        <w:t>Benning</w:t>
      </w:r>
      <w:proofErr w:type="spellEnd"/>
      <w:r>
        <w:t xml:space="preserve">, Gordon, and Stewart) projects are scheduled to be completed before the end of 2016 and will provide a supply of electric power for the Company’s customers, and according to the filing, will contribute toward the Army’s mandates regarding renewable energy and energy security and represent a significant investment in Georgia Army bases. These projects will also provide fuel diversity and continue to add to Georgia Power’s renewable investment as being the first solar self-build projects to be added to the Company’s rate base.  Two of the solar projects will be constructed in Georgia and the other in Alabama (Fort </w:t>
      </w:r>
      <w:proofErr w:type="spellStart"/>
      <w:r>
        <w:t>Benning</w:t>
      </w:r>
      <w:proofErr w:type="spellEnd"/>
      <w:r>
        <w:t>).</w:t>
      </w:r>
    </w:p>
    <w:p w:rsidR="00B73108" w:rsidRDefault="00B73108" w:rsidP="00A16AEB">
      <w:pPr>
        <w:pStyle w:val="BodyText"/>
        <w:spacing w:after="0" w:line="360" w:lineRule="auto"/>
        <w:ind w:firstLine="86"/>
        <w:jc w:val="both"/>
      </w:pPr>
      <w:r>
        <w:tab/>
        <w:t xml:space="preserve">For the construction of these facilities, the Company executed turnkey Engineering, Procurement and Construction (“EPC”) agreements with two contractors. Through a competitive bidding process, the Company solicited bids from 19 contractors, received bids from six and ultimately chose </w:t>
      </w:r>
      <w:proofErr w:type="spellStart"/>
      <w:r>
        <w:t>PowerSecure</w:t>
      </w:r>
      <w:proofErr w:type="spellEnd"/>
      <w:r>
        <w:t xml:space="preserve"> Solar, LLC (“</w:t>
      </w:r>
      <w:proofErr w:type="spellStart"/>
      <w:r>
        <w:t>PowerSecure</w:t>
      </w:r>
      <w:proofErr w:type="spellEnd"/>
      <w:r>
        <w:t xml:space="preserve">”) and AMEC </w:t>
      </w:r>
      <w:proofErr w:type="spellStart"/>
      <w:r>
        <w:t>Kamtech</w:t>
      </w:r>
      <w:proofErr w:type="spellEnd"/>
      <w:r>
        <w:t xml:space="preserve">, </w:t>
      </w:r>
      <w:proofErr w:type="spellStart"/>
      <w:r>
        <w:t>Inc</w:t>
      </w:r>
      <w:proofErr w:type="spellEnd"/>
      <w:r>
        <w:t xml:space="preserve"> (“AMEC”) as the EPC contractors. </w:t>
      </w:r>
      <w:proofErr w:type="spellStart"/>
      <w:r>
        <w:t>PowerSecure</w:t>
      </w:r>
      <w:proofErr w:type="spellEnd"/>
      <w:r>
        <w:t xml:space="preserve"> will be the EPC contractor for both the Fort Gordon and Fort Stewart projects and AMEC will be the EPC contractor for the Fort </w:t>
      </w:r>
      <w:proofErr w:type="spellStart"/>
      <w:r>
        <w:t>Benning</w:t>
      </w:r>
      <w:proofErr w:type="spellEnd"/>
      <w:r>
        <w:t xml:space="preserve"> project.  Both of these entities have demonstrated experience in the area of solar construction.  </w:t>
      </w:r>
    </w:p>
    <w:p w:rsidR="00B73108" w:rsidRDefault="00B73108" w:rsidP="00A16AEB">
      <w:pPr>
        <w:pStyle w:val="BodyText"/>
        <w:spacing w:after="0" w:line="360" w:lineRule="auto"/>
        <w:ind w:firstLine="720"/>
        <w:jc w:val="both"/>
      </w:pPr>
      <w:r>
        <w:t xml:space="preserve">In the Order, the test of economic viability </w:t>
      </w:r>
      <w:r w:rsidR="00D12BF4">
        <w:t>o</w:t>
      </w:r>
      <w:r>
        <w:t>f the three Army projects is that the revenue requirements for the three projects cannot exceed the Company’s solar weighted avoided cost</w:t>
      </w:r>
      <w:r w:rsidR="003D27F9">
        <w:t>s</w:t>
      </w:r>
      <w:r>
        <w:t xml:space="preserve">.  Avoided cost is the sum of the avoided capacity cost and the avoided energy cost over the life of the proposed projects. For these projects, the Company has proposed a 35 year life and the </w:t>
      </w:r>
      <w:r>
        <w:lastRenderedPageBreak/>
        <w:t xml:space="preserve">economic analysis for all three projects was for the years 2016-2051.  The avoided capacity cost begins in the first year of capacity need as identified in the 2013 </w:t>
      </w:r>
      <w:r w:rsidR="005B456B">
        <w:t>I</w:t>
      </w:r>
      <w:r>
        <w:t>RP as 2021 and is based on the economic carrying charge methodology of a combustion turbine. The capacity charge is adjusted for partial availability by multiplying the capacity price forecast by an Incremental Capacity Equivalent factor. The avoided energy cost</w:t>
      </w:r>
      <w:r w:rsidR="00F157E7">
        <w:t>s</w:t>
      </w:r>
      <w:r>
        <w:t xml:space="preserve"> calculation follows the methodology approved in Docket No. 4822 and uses the typical hours for solar production.  This methodology is also consistent with the “not to exceed pricing” contained in the 2014 Advanced Solar Initiative Requests for Proposals.</w:t>
      </w:r>
    </w:p>
    <w:p w:rsidR="00B73108" w:rsidRDefault="00B73108" w:rsidP="00A16AEB">
      <w:pPr>
        <w:pStyle w:val="BodyText"/>
        <w:spacing w:after="0" w:line="360" w:lineRule="auto"/>
        <w:jc w:val="both"/>
      </w:pPr>
      <w:r>
        <w:tab/>
        <w:t>As part of the review to determine if these projects meet the Commission’s requirement to be at or below the Company’s avoided cost</w:t>
      </w:r>
      <w:r w:rsidR="002359B7">
        <w:t>s</w:t>
      </w:r>
      <w:r>
        <w:t xml:space="preserve">, Staff issued several sets of data requests (formal and informal), reviewed the Company’s financial (SAM) models, </w:t>
      </w:r>
      <w:proofErr w:type="spellStart"/>
      <w:r>
        <w:t>PVSyst</w:t>
      </w:r>
      <w:proofErr w:type="spellEnd"/>
      <w:r>
        <w:t xml:space="preserve"> solar production runs, avoided cost spreadsheets and calculations, and held multiple conference calls to discuss technical aspects of the projects with the Company.  In addition, La Capra </w:t>
      </w:r>
      <w:r w:rsidRPr="00CD0820">
        <w:t xml:space="preserve">provided its </w:t>
      </w:r>
      <w:r>
        <w:t xml:space="preserve">detailed </w:t>
      </w:r>
      <w:r w:rsidRPr="00CD0820">
        <w:t xml:space="preserve">review and analysis of the projects in a report to Staff dated October 13, 2014.   Staff and its consultant find the </w:t>
      </w:r>
      <w:r>
        <w:t xml:space="preserve">Company’s models that were used to determine </w:t>
      </w:r>
      <w:r w:rsidRPr="00CD0820">
        <w:t>avoided costs and revenue requirements for each project site and the methodology reasonable</w:t>
      </w:r>
      <w:r w:rsidRPr="00993B5F">
        <w:t xml:space="preserve"> and consistent with the analysis of solar projects in the recent procurement.    </w:t>
      </w:r>
      <w:r>
        <w:t xml:space="preserve">  </w:t>
      </w:r>
    </w:p>
    <w:p w:rsidR="00B73108" w:rsidRDefault="002170D9" w:rsidP="00A16AEB">
      <w:pPr>
        <w:pStyle w:val="BodyText"/>
        <w:spacing w:after="0" w:line="360" w:lineRule="auto"/>
        <w:ind w:firstLine="720"/>
        <w:jc w:val="both"/>
      </w:pPr>
      <w:r>
        <w:t>During its review, t</w:t>
      </w:r>
      <w:r w:rsidR="00B73108" w:rsidRPr="00993B5F">
        <w:t>here</w:t>
      </w:r>
      <w:r w:rsidR="00B73108">
        <w:t xml:space="preserve"> </w:t>
      </w:r>
      <w:r w:rsidR="00D12BF4">
        <w:t xml:space="preserve">were </w:t>
      </w:r>
      <w:r w:rsidR="00B73108">
        <w:t xml:space="preserve">a few items that Staff </w:t>
      </w:r>
      <w:r>
        <w:t xml:space="preserve">addressed </w:t>
      </w:r>
      <w:r w:rsidR="00B73108">
        <w:t xml:space="preserve">that could have an impact on the overall economics of the projects.  These items </w:t>
      </w:r>
      <w:r w:rsidR="00B73108" w:rsidRPr="00CD0820">
        <w:t xml:space="preserve">include: </w:t>
      </w:r>
      <w:r w:rsidR="00B73108">
        <w:t>the absence of finalized Easement Agreements with the Army confirming site control or terms and conditions on the cost and use of the sites;</w:t>
      </w:r>
      <w:r w:rsidR="00B73108" w:rsidRPr="00CD0820">
        <w:t xml:space="preserve"> the proposed life of the solar facilities (35 years), </w:t>
      </w:r>
      <w:r w:rsidR="00B73108">
        <w:t xml:space="preserve">the </w:t>
      </w:r>
      <w:r w:rsidR="00B73108" w:rsidRPr="00CD0820">
        <w:t>production</w:t>
      </w:r>
      <w:r w:rsidR="00B73108">
        <w:t xml:space="preserve"> output </w:t>
      </w:r>
      <w:r w:rsidR="00B73108" w:rsidRPr="00CD0820">
        <w:t>and modeling</w:t>
      </w:r>
      <w:r w:rsidR="00B73108">
        <w:t xml:space="preserve"> of the proposed solar facilities, and the uncertainty of costs that are the direct responsibility of the Company. </w:t>
      </w:r>
    </w:p>
    <w:p w:rsidR="00B73108" w:rsidRDefault="00B73108" w:rsidP="00A16AEB">
      <w:pPr>
        <w:spacing w:line="360" w:lineRule="auto"/>
        <w:ind w:firstLine="720"/>
        <w:jc w:val="both"/>
      </w:pPr>
      <w:r>
        <w:t xml:space="preserve">With this being the first proposed Company solar self-build </w:t>
      </w:r>
      <w:r w:rsidR="00A941D1">
        <w:t xml:space="preserve">project </w:t>
      </w:r>
      <w:r>
        <w:t>to be placed into rate base, the proposed life (35 years) of the facilities used by the Company in its economic analysis raised several concerns for Staff.  (1)  Th</w:t>
      </w:r>
      <w:r w:rsidR="00A941D1">
        <w:t>e</w:t>
      </w:r>
      <w:r>
        <w:t xml:space="preserve"> </w:t>
      </w:r>
      <w:r w:rsidR="00A941D1">
        <w:t xml:space="preserve">proposed panel </w:t>
      </w:r>
      <w:r>
        <w:t xml:space="preserve">life is longer than the standard panel warranty offered. One of the EPC contractors has already designated the panels and inverters that will be used in the construction of the facilities and the warranties are consistent with standard warranties offered in the market, (2) the basis for the Company’s proposed life was based on two studies: one by the Southern Company and the other by a consultant hired by the Company. </w:t>
      </w:r>
      <w:r w:rsidR="00A941D1">
        <w:t xml:space="preserve"> </w:t>
      </w:r>
      <w:proofErr w:type="gramStart"/>
      <w:r>
        <w:t xml:space="preserve">The consultant report, which is based mostly on information provided by Southern Company </w:t>
      </w:r>
      <w:r>
        <w:lastRenderedPageBreak/>
        <w:t>Management, states that the 35 years is the upper end of the range of the useful life.</w:t>
      </w:r>
      <w:proofErr w:type="gramEnd"/>
      <w:r>
        <w:t xml:space="preserve">  The report cites random failure beyond normal degradation and inverter life as particular risks to the life of the solar projects, (3) the typical expected life of a solar facility is 25-30 years</w:t>
      </w:r>
      <w:r>
        <w:rPr>
          <w:rStyle w:val="FootnoteReference"/>
        </w:rPr>
        <w:footnoteReference w:id="1"/>
      </w:r>
      <w:r>
        <w:t xml:space="preserve">, and (4) unlike with the current </w:t>
      </w:r>
      <w:r w:rsidR="00C81FD1">
        <w:t xml:space="preserve">Commission approved </w:t>
      </w:r>
      <w:r>
        <w:t>solar PPAs</w:t>
      </w:r>
      <w:r w:rsidR="00A941D1">
        <w:t>,</w:t>
      </w:r>
      <w:r>
        <w:t xml:space="preserve"> the same safeguards are not in place to protect customers if the facilities</w:t>
      </w:r>
      <w:r w:rsidR="00A941D1">
        <w:t>’</w:t>
      </w:r>
      <w:r>
        <w:t xml:space="preserve"> production is less than forecasted by Georgia Power during the proposed 35 year operating life.  </w:t>
      </w:r>
    </w:p>
    <w:p w:rsidR="00B73108" w:rsidRDefault="00B73108" w:rsidP="00A16AEB">
      <w:pPr>
        <w:pStyle w:val="BodyText"/>
        <w:spacing w:after="0" w:line="360" w:lineRule="auto"/>
        <w:ind w:firstLine="720"/>
        <w:jc w:val="both"/>
      </w:pPr>
      <w:r>
        <w:t xml:space="preserve">Another concern </w:t>
      </w:r>
      <w:r w:rsidR="0058381C">
        <w:t xml:space="preserve">that Staff had regarding </w:t>
      </w:r>
      <w:r>
        <w:t xml:space="preserve">the Company’s analysis was how the modeling of the solar facilities’ production outputs was performed and the solar production numbers that the EPC contractors will be held to.  The EPC contractors also determined the production numbers from the facilities using </w:t>
      </w:r>
      <w:proofErr w:type="spellStart"/>
      <w:r>
        <w:t>PVSyst</w:t>
      </w:r>
      <w:proofErr w:type="spellEnd"/>
      <w:r>
        <w:t>.  This is important since the production output was utilized in the Company’s financial analysis (avoided cost) of the projects.  The Company used a “degrade and clip” methodology</w:t>
      </w:r>
      <w:r w:rsidR="00A941D1">
        <w:t>,</w:t>
      </w:r>
      <w:r>
        <w:t xml:space="preserve"> a strategy which is common in today’s solar marketplace. The strategy is to build more than 30 MW of panels to maximize output power value when compared to system costs.  A “degrade and clip” methodology assumes that the total power output of the combined PV panels is greater than the desired power output of the facility.  Year by year, the panel output is projected to degrade at a given degradation rate.  This degraded Direct Current output from the combined PV panels is sent through a power inverter rated at the desired power output for the facility.  The inverter converts the input Direct Current (“DC”) power from the solar panels to Alternating Current and limits (clips) the output power to its designed maximum output power specifications.  For these projects, the inverters are rated at 30 MW.</w:t>
      </w:r>
    </w:p>
    <w:p w:rsidR="00B73108" w:rsidRDefault="0058381C" w:rsidP="00A16AEB">
      <w:pPr>
        <w:pStyle w:val="BodyText"/>
        <w:spacing w:after="0" w:line="360" w:lineRule="auto"/>
        <w:ind w:firstLine="720"/>
        <w:jc w:val="both"/>
      </w:pPr>
      <w:r>
        <w:t xml:space="preserve">During its review, </w:t>
      </w:r>
      <w:r w:rsidR="00B73108">
        <w:t xml:space="preserve">Staff requested that Georgia Power run its own </w:t>
      </w:r>
      <w:proofErr w:type="spellStart"/>
      <w:r w:rsidR="00B73108">
        <w:t>PVSyst</w:t>
      </w:r>
      <w:proofErr w:type="spellEnd"/>
      <w:r w:rsidR="00B73108">
        <w:t xml:space="preserve"> simulations to verify the reasonableness of the contractor’s output simulations.  Georgia Power was able to recreate 8760 profiles that were similar, but not exactly the same as the profiles from the EPC contractors.  The total annual </w:t>
      </w:r>
      <w:proofErr w:type="spellStart"/>
      <w:r w:rsidR="00B73108">
        <w:t>MWh</w:t>
      </w:r>
      <w:proofErr w:type="spellEnd"/>
      <w:r w:rsidR="00B73108">
        <w:t xml:space="preserve"> of Georgia Power’s simulations were within 1% of the output generated from those provided by the contractors. However, Staff noticed that an hour for hour comparison of output power was significantly different at times.  Staff acknowledges that although the hourly outputs did not always match, the EPC contractors are ultimately bound by a pre-commercial operation five-day performance test of the projected monthly average output of the system as prescribed in the EPC agreements during the initial system testing phase, after which the panel warrantees are the only output assurances that remain in effect.</w:t>
      </w:r>
    </w:p>
    <w:p w:rsidR="00B73108" w:rsidRDefault="00B73108" w:rsidP="00A16AEB">
      <w:pPr>
        <w:spacing w:line="360" w:lineRule="auto"/>
        <w:ind w:firstLine="720"/>
        <w:jc w:val="both"/>
      </w:pPr>
      <w:r>
        <w:lastRenderedPageBreak/>
        <w:t>The EPC contracts are structured such that the contractors, not the Company, are responsible for the majority of construction costs risk. There are certain construction costs that the Company is responsible for such as land preparation, transmission, etc. The Company costs are a smaller percentage of the total project costs than the EPC contract costs.  However, the uncertainty of costs that the Company is responsible for are a concern for Staff since the costs are less firm and there is nothing that holds the Company to these costs contractually.  If the Company costs were to increase, capital costs would also</w:t>
      </w:r>
      <w:r w:rsidR="0029707C">
        <w:t xml:space="preserve"> increase</w:t>
      </w:r>
      <w:r>
        <w:t xml:space="preserve"> and revenue requirements would increase almost as much.  A material increase in Company costs has the ability to have a large impact on the analysis of the project benefits relative to avoided cost savings.</w:t>
      </w:r>
    </w:p>
    <w:p w:rsidR="00B73108" w:rsidRDefault="00B73108" w:rsidP="00A16AEB">
      <w:pPr>
        <w:pStyle w:val="BodyText"/>
        <w:spacing w:after="0" w:line="360" w:lineRule="auto"/>
        <w:ind w:firstLine="720"/>
        <w:jc w:val="both"/>
      </w:pPr>
      <w:r w:rsidRPr="00F3337A">
        <w:t xml:space="preserve">The Company has already invested </w:t>
      </w:r>
      <w:r>
        <w:t xml:space="preserve">a small amount of </w:t>
      </w:r>
      <w:r w:rsidRPr="00F3337A">
        <w:t xml:space="preserve">capital for these projects for </w:t>
      </w:r>
      <w:r>
        <w:t xml:space="preserve">items </w:t>
      </w:r>
      <w:r w:rsidRPr="00F3337A">
        <w:t xml:space="preserve">such as ground preparations and transmission improvements.  The Company has the right to terminate </w:t>
      </w:r>
      <w:r>
        <w:t xml:space="preserve">one of the EPC </w:t>
      </w:r>
      <w:r w:rsidRPr="00F3337A">
        <w:t>agreement</w:t>
      </w:r>
      <w:r>
        <w:t>s</w:t>
      </w:r>
      <w:r w:rsidRPr="00F3337A">
        <w:t xml:space="preserve"> if it is unable to obtain Required Regulatory Approvals by October, 30 2014</w:t>
      </w:r>
      <w:r>
        <w:t xml:space="preserve">.  </w:t>
      </w:r>
      <w:r w:rsidRPr="00F3337A">
        <w:t>For the other EPC agr</w:t>
      </w:r>
      <w:r>
        <w:t>ee</w:t>
      </w:r>
      <w:r w:rsidRPr="00F3337A">
        <w:t xml:space="preserve">ment, the contract costs are firm as long as the company issues the Notice to Proceed by November 12, </w:t>
      </w:r>
      <w:r w:rsidR="00AC330D" w:rsidRPr="00F3337A">
        <w:t>after</w:t>
      </w:r>
      <w:r w:rsidRPr="00F3337A">
        <w:t xml:space="preserve"> this time, both Georgia Power and the EPC contractor would have the right to terminate or renegotiate </w:t>
      </w:r>
      <w:r>
        <w:t>the contract, which could affect the overall economics of the projects.</w:t>
      </w:r>
    </w:p>
    <w:p w:rsidR="00B73108" w:rsidRDefault="00B73108" w:rsidP="00A16AEB">
      <w:pPr>
        <w:pStyle w:val="BodyText"/>
        <w:spacing w:after="0" w:line="360" w:lineRule="auto"/>
        <w:ind w:firstLine="720"/>
        <w:jc w:val="both"/>
      </w:pPr>
      <w:r w:rsidRPr="00D853D0">
        <w:t>As previously noted, the Company entered into a MOU</w:t>
      </w:r>
      <w:r>
        <w:t xml:space="preserve"> </w:t>
      </w:r>
      <w:r w:rsidRPr="00D853D0">
        <w:t xml:space="preserve">with the Army in April of this year, but to date Final Easement </w:t>
      </w:r>
      <w:r>
        <w:t>A</w:t>
      </w:r>
      <w:r w:rsidRPr="00D853D0">
        <w:t>greement</w:t>
      </w:r>
      <w:r>
        <w:t>s</w:t>
      </w:r>
      <w:r w:rsidRPr="00D853D0">
        <w:t xml:space="preserve"> allowing for </w:t>
      </w:r>
      <w:r>
        <w:t xml:space="preserve">site control such that </w:t>
      </w:r>
      <w:r w:rsidRPr="00D853D0">
        <w:t xml:space="preserve">the Company’s PV facilities </w:t>
      </w:r>
      <w:r>
        <w:t xml:space="preserve">can be </w:t>
      </w:r>
      <w:r w:rsidRPr="00D853D0">
        <w:t>constructed on the Army’s property ha</w:t>
      </w:r>
      <w:r w:rsidR="000D0313">
        <w:t>ve</w:t>
      </w:r>
      <w:r w:rsidRPr="00D853D0">
        <w:t xml:space="preserve"> not been finalized. Although the Company has provided</w:t>
      </w:r>
      <w:r>
        <w:t xml:space="preserve"> verbal</w:t>
      </w:r>
      <w:r w:rsidRPr="00D853D0">
        <w:t xml:space="preserve"> assurances to Staff that:</w:t>
      </w:r>
      <w:r>
        <w:t xml:space="preserve">     </w:t>
      </w:r>
      <w:r w:rsidRPr="00D853D0">
        <w:t>(1) the term of the agreement</w:t>
      </w:r>
      <w:r>
        <w:t xml:space="preserve"> with the Army</w:t>
      </w:r>
      <w:r w:rsidRPr="00D853D0">
        <w:t xml:space="preserve"> is 35 years, (2) the</w:t>
      </w:r>
      <w:r>
        <w:t xml:space="preserve"> Renewable Energy Certificates (“RECs”) remain with the Company, (3) there will not be any payments from the Company to the Army for use of the land unless certain conditions contained in the draft agreement are applicable, and (4) the power from these facilities will be sent directly to the grid.  Without a final signed document these expected terms are not firm.  In late September, the Company provided Staff the latest redlined Easement Agreement from the Army, but a date when the Company expects to finalize this agreement has not been provided to Staff.  The Company has told </w:t>
      </w:r>
      <w:r w:rsidRPr="000252B5">
        <w:t xml:space="preserve">Staff that because the agreement with the Army is for the use of land, the ownership of RECs and electricity generated does not need to be documented in the </w:t>
      </w:r>
      <w:r w:rsidR="000D0313">
        <w:t>E</w:t>
      </w:r>
      <w:r w:rsidRPr="000252B5">
        <w:t xml:space="preserve">asement </w:t>
      </w:r>
      <w:r w:rsidR="000D0313">
        <w:t>A</w:t>
      </w:r>
      <w:r w:rsidRPr="000252B5">
        <w:t>greement.</w:t>
      </w:r>
    </w:p>
    <w:p w:rsidR="00B73108" w:rsidRDefault="00B73108" w:rsidP="00A16AEB">
      <w:pPr>
        <w:spacing w:line="360" w:lineRule="auto"/>
        <w:ind w:firstLine="720"/>
        <w:jc w:val="both"/>
      </w:pPr>
      <w:r>
        <w:t xml:space="preserve">Through </w:t>
      </w:r>
      <w:r w:rsidR="0029707C">
        <w:t>Staff’s</w:t>
      </w:r>
      <w:r>
        <w:t xml:space="preserve"> thorough review of the information provided by the Company to support that the three PV projects located at the Army bases meet the Commission’s requirement that the </w:t>
      </w:r>
      <w:r>
        <w:lastRenderedPageBreak/>
        <w:t>Company’s revenue requirement be at or below avoided cost</w:t>
      </w:r>
      <w:r w:rsidR="002359B7">
        <w:t>s</w:t>
      </w:r>
      <w:r>
        <w:t xml:space="preserve">, Staff determined that the projects do meet this requirement as currently presented in the Company’s filing and supporting information that has been provided to Staff to complete its review. Staff’s consultant, La Capra, concurs with this conclusion as cited on Page 20 of its report to Staff.  </w:t>
      </w:r>
    </w:p>
    <w:p w:rsidR="00AC7E08" w:rsidRDefault="00AC7E08" w:rsidP="00A16AEB">
      <w:pPr>
        <w:spacing w:line="360" w:lineRule="auto"/>
        <w:ind w:firstLine="360"/>
        <w:jc w:val="both"/>
      </w:pPr>
    </w:p>
    <w:p w:rsidR="00AC7E08" w:rsidRDefault="00AC7E08" w:rsidP="00A16AEB">
      <w:pPr>
        <w:spacing w:line="360" w:lineRule="auto"/>
        <w:ind w:firstLine="720"/>
        <w:jc w:val="both"/>
      </w:pPr>
      <w:r>
        <w:t>At the October 23, 2014, Administrative Session, Staff recommended approval of the projects with the following</w:t>
      </w:r>
      <w:r w:rsidR="003A58A0">
        <w:t xml:space="preserve"> conditions</w:t>
      </w:r>
      <w:r>
        <w:t>:</w:t>
      </w:r>
    </w:p>
    <w:p w:rsidR="00B73108" w:rsidRDefault="00B73108" w:rsidP="00A16AEB">
      <w:pPr>
        <w:spacing w:line="360" w:lineRule="auto"/>
        <w:jc w:val="both"/>
      </w:pPr>
    </w:p>
    <w:p w:rsidR="00B73108" w:rsidRDefault="00B73108" w:rsidP="00A16AEB">
      <w:pPr>
        <w:pStyle w:val="ListParagraph"/>
        <w:numPr>
          <w:ilvl w:val="0"/>
          <w:numId w:val="6"/>
        </w:numPr>
        <w:spacing w:line="360" w:lineRule="auto"/>
        <w:ind w:left="86" w:hanging="86"/>
        <w:jc w:val="both"/>
      </w:pPr>
      <w:r>
        <w:t xml:space="preserve">Staff and the Company will agree to a number that will represent a deemed certified number, which if the Company exceeds, the Company will have the burden of showing the prudence of. </w:t>
      </w:r>
    </w:p>
    <w:p w:rsidR="00AC7E08" w:rsidRDefault="00AC7E08" w:rsidP="00A16AEB">
      <w:pPr>
        <w:pStyle w:val="ListParagraph"/>
        <w:spacing w:line="360" w:lineRule="auto"/>
        <w:ind w:left="90"/>
        <w:jc w:val="both"/>
      </w:pPr>
    </w:p>
    <w:p w:rsidR="00B73108" w:rsidRDefault="00B73108" w:rsidP="00A16AEB">
      <w:pPr>
        <w:pStyle w:val="ListParagraph"/>
        <w:numPr>
          <w:ilvl w:val="0"/>
          <w:numId w:val="6"/>
        </w:numPr>
        <w:spacing w:line="360" w:lineRule="auto"/>
        <w:ind w:left="0" w:firstLine="0"/>
        <w:jc w:val="both"/>
      </w:pPr>
      <w:r>
        <w:t>The Company will provide the Commission and Staff with a copy of the Easement Agreement with the Army as soon as such Agreement is executed.</w:t>
      </w:r>
    </w:p>
    <w:p w:rsidR="00AC7E08" w:rsidRDefault="00AC7E08" w:rsidP="00A16AEB">
      <w:pPr>
        <w:pStyle w:val="ListParagraph"/>
        <w:spacing w:line="360" w:lineRule="auto"/>
        <w:ind w:left="0"/>
        <w:jc w:val="both"/>
      </w:pPr>
    </w:p>
    <w:p w:rsidR="00B73108" w:rsidRDefault="00B73108" w:rsidP="00A16AEB">
      <w:pPr>
        <w:pStyle w:val="ListParagraph"/>
        <w:numPr>
          <w:ilvl w:val="0"/>
          <w:numId w:val="6"/>
        </w:numPr>
        <w:spacing w:line="360" w:lineRule="auto"/>
        <w:ind w:left="0" w:firstLine="0"/>
        <w:jc w:val="both"/>
      </w:pPr>
      <w:r>
        <w:t>If there is any economic benefit for the RECs during the entire 35 year project life, the Company agrees that such economic benefit will accrue to the Company’s ratepayers.</w:t>
      </w:r>
    </w:p>
    <w:p w:rsidR="008A0ED4" w:rsidRPr="00CE17CE" w:rsidRDefault="008A0ED4" w:rsidP="00A16AEB">
      <w:pPr>
        <w:tabs>
          <w:tab w:val="left" w:pos="-720"/>
        </w:tabs>
        <w:suppressAutoHyphens/>
        <w:spacing w:line="360" w:lineRule="auto"/>
        <w:ind w:hanging="720"/>
        <w:jc w:val="both"/>
        <w:rPr>
          <w:spacing w:val="-3"/>
        </w:rPr>
      </w:pPr>
    </w:p>
    <w:p w:rsidR="008A0ED4" w:rsidRPr="000B6F17" w:rsidRDefault="00E402E2" w:rsidP="00A16AEB">
      <w:pPr>
        <w:spacing w:line="360" w:lineRule="auto"/>
        <w:ind w:firstLine="720"/>
        <w:jc w:val="both"/>
      </w:pPr>
      <w:r w:rsidRPr="00CE17CE">
        <w:rPr>
          <w:spacing w:val="-3"/>
        </w:rPr>
        <w:t>T</w:t>
      </w:r>
      <w:r w:rsidR="008A0ED4" w:rsidRPr="00CE17CE">
        <w:rPr>
          <w:spacing w:val="-3"/>
        </w:rPr>
        <w:t>he Commission</w:t>
      </w:r>
      <w:r w:rsidR="003A58A0">
        <w:rPr>
          <w:spacing w:val="-3"/>
        </w:rPr>
        <w:t xml:space="preserve"> recognizes that the specifications of these projects were developed using panels that meet the requirements of </w:t>
      </w:r>
      <w:r w:rsidR="000B6F17">
        <w:rPr>
          <w:spacing w:val="-3"/>
        </w:rPr>
        <w:t xml:space="preserve">the </w:t>
      </w:r>
      <w:r w:rsidR="000B6F17" w:rsidRPr="00CE17CE">
        <w:rPr>
          <w:spacing w:val="-3"/>
        </w:rPr>
        <w:t>EITF</w:t>
      </w:r>
      <w:r w:rsidR="000B6F17">
        <w:rPr>
          <w:spacing w:val="-3"/>
        </w:rPr>
        <w:t xml:space="preserve">, and that the projects </w:t>
      </w:r>
      <w:r w:rsidR="000B6F17">
        <w:t xml:space="preserve">further the Army’s energy security and sustainable energy goals.  As such, the Commission </w:t>
      </w:r>
      <w:r w:rsidRPr="00CE17CE">
        <w:rPr>
          <w:spacing w:val="-3"/>
        </w:rPr>
        <w:t>hereby approves</w:t>
      </w:r>
      <w:r w:rsidR="008A0ED4" w:rsidRPr="00CE17CE">
        <w:rPr>
          <w:spacing w:val="-3"/>
        </w:rPr>
        <w:t xml:space="preserve"> Staff’s recommendation</w:t>
      </w:r>
      <w:r w:rsidR="00B05E0F">
        <w:rPr>
          <w:spacing w:val="-3"/>
        </w:rPr>
        <w:t>.</w:t>
      </w:r>
    </w:p>
    <w:p w:rsidR="008A0ED4" w:rsidRPr="00CE17CE" w:rsidRDefault="008A0ED4" w:rsidP="00A16AEB">
      <w:pPr>
        <w:spacing w:line="360" w:lineRule="auto"/>
        <w:jc w:val="both"/>
      </w:pPr>
    </w:p>
    <w:p w:rsidR="00E33946" w:rsidRPr="00CE17CE" w:rsidRDefault="00E33946" w:rsidP="00A16AEB">
      <w:pPr>
        <w:spacing w:line="360" w:lineRule="auto"/>
        <w:jc w:val="both"/>
      </w:pPr>
    </w:p>
    <w:p w:rsidR="008A0ED4" w:rsidRPr="00CE17CE" w:rsidRDefault="008A0ED4" w:rsidP="00A16AEB">
      <w:pPr>
        <w:spacing w:line="360" w:lineRule="auto"/>
        <w:jc w:val="center"/>
      </w:pPr>
      <w:r w:rsidRPr="00CE17CE">
        <w:t>* * * * *</w:t>
      </w:r>
    </w:p>
    <w:p w:rsidR="00E33946" w:rsidRPr="00CE17CE" w:rsidRDefault="00E33946" w:rsidP="00A16AEB">
      <w:pPr>
        <w:spacing w:line="360" w:lineRule="auto"/>
        <w:jc w:val="center"/>
      </w:pPr>
    </w:p>
    <w:p w:rsidR="008A0ED4" w:rsidRPr="00CE17CE" w:rsidRDefault="008A0ED4" w:rsidP="00A16AEB">
      <w:pPr>
        <w:spacing w:line="360" w:lineRule="auto"/>
      </w:pPr>
    </w:p>
    <w:p w:rsidR="008A0ED4" w:rsidRPr="00CE17CE" w:rsidRDefault="008A0ED4" w:rsidP="00A16AEB">
      <w:pPr>
        <w:spacing w:line="360" w:lineRule="auto"/>
        <w:ind w:firstLine="720"/>
        <w:jc w:val="both"/>
      </w:pPr>
      <w:r w:rsidRPr="00CE17CE">
        <w:rPr>
          <w:b/>
          <w:bCs/>
        </w:rPr>
        <w:t xml:space="preserve">WHEREFORE IT IS </w:t>
      </w:r>
      <w:r w:rsidR="00AC7E08" w:rsidRPr="00CE17CE">
        <w:rPr>
          <w:b/>
          <w:bCs/>
        </w:rPr>
        <w:t>ORDERED</w:t>
      </w:r>
      <w:r w:rsidR="00AC7E08" w:rsidRPr="00CE17CE">
        <w:t xml:space="preserve"> that</w:t>
      </w:r>
      <w:r w:rsidRPr="00CE17CE">
        <w:t xml:space="preserve"> </w:t>
      </w:r>
      <w:r w:rsidR="000B6F17">
        <w:t xml:space="preserve">construction of </w:t>
      </w:r>
      <w:r w:rsidR="000D6007" w:rsidRPr="00CE17CE">
        <w:t>the</w:t>
      </w:r>
      <w:r w:rsidR="00AC7E08">
        <w:t xml:space="preserve"> three photovoltaic </w:t>
      </w:r>
      <w:r w:rsidR="00D12BF4">
        <w:t>facilities</w:t>
      </w:r>
      <w:r w:rsidR="00AC7E08">
        <w:t xml:space="preserve">, sized at or below 30 megawatts (“MW”) Alternating Current at United States Army installations served by the Company, including Fort </w:t>
      </w:r>
      <w:proofErr w:type="spellStart"/>
      <w:r w:rsidR="00AC7E08">
        <w:t>Benning</w:t>
      </w:r>
      <w:proofErr w:type="spellEnd"/>
      <w:r w:rsidR="00AC7E08">
        <w:t>, Fort Gordon, and Fort Stewart</w:t>
      </w:r>
      <w:r w:rsidR="000D6007" w:rsidRPr="00CE17CE">
        <w:t xml:space="preserve"> </w:t>
      </w:r>
      <w:r w:rsidR="000B6F17">
        <w:t>is</w:t>
      </w:r>
      <w:r w:rsidR="000B6F17" w:rsidRPr="00CE17CE">
        <w:t xml:space="preserve"> </w:t>
      </w:r>
      <w:r w:rsidR="000D6007" w:rsidRPr="00CE17CE">
        <w:t>hereby approved.</w:t>
      </w:r>
    </w:p>
    <w:p w:rsidR="008A0ED4" w:rsidRDefault="0021198F" w:rsidP="00A16AEB">
      <w:pPr>
        <w:spacing w:line="360" w:lineRule="auto"/>
        <w:jc w:val="both"/>
      </w:pPr>
      <w:r>
        <w:lastRenderedPageBreak/>
        <w:tab/>
      </w:r>
      <w:r w:rsidRPr="0021198F">
        <w:rPr>
          <w:b/>
        </w:rPr>
        <w:t>ORDERED FURTHER</w:t>
      </w:r>
      <w:r>
        <w:t>, that Commission Staff and the Company will agree to a number that will represent a deemed certified number, which if the Company exceeds, the Company will have the burden of showing the prudence of.</w:t>
      </w:r>
    </w:p>
    <w:p w:rsidR="0021198F" w:rsidRDefault="0021198F" w:rsidP="00A16AEB">
      <w:pPr>
        <w:spacing w:line="360" w:lineRule="auto"/>
        <w:jc w:val="both"/>
      </w:pPr>
    </w:p>
    <w:p w:rsidR="0021198F" w:rsidRDefault="0021198F" w:rsidP="00A16AEB">
      <w:pPr>
        <w:spacing w:line="360" w:lineRule="auto"/>
        <w:jc w:val="both"/>
      </w:pPr>
      <w:r>
        <w:tab/>
      </w:r>
      <w:proofErr w:type="gramStart"/>
      <w:r w:rsidRPr="0021198F">
        <w:rPr>
          <w:b/>
        </w:rPr>
        <w:t>ORDERED FURTHER</w:t>
      </w:r>
      <w:r>
        <w:t>, that the Company will provide the Commission and Staff with a copy of the Easement Agreement with the Army as soon as such Agreement is executed.</w:t>
      </w:r>
      <w:proofErr w:type="gramEnd"/>
    </w:p>
    <w:p w:rsidR="0021198F" w:rsidRDefault="0021198F" w:rsidP="00A16AEB">
      <w:pPr>
        <w:spacing w:line="360" w:lineRule="auto"/>
        <w:jc w:val="both"/>
      </w:pPr>
    </w:p>
    <w:p w:rsidR="0021198F" w:rsidRDefault="0021198F" w:rsidP="00A16AEB">
      <w:pPr>
        <w:spacing w:line="360" w:lineRule="auto"/>
        <w:jc w:val="both"/>
      </w:pPr>
      <w:r>
        <w:tab/>
      </w:r>
      <w:proofErr w:type="gramStart"/>
      <w:r w:rsidRPr="0021198F">
        <w:rPr>
          <w:b/>
        </w:rPr>
        <w:t>ORDERED FURTHER</w:t>
      </w:r>
      <w:r>
        <w:t>, that if there is any economic benefit for the renewable energy certificates during the entire 35 year project life, the Company agrees that such economic benefit will accrue to the Company’s ratepayers.</w:t>
      </w:r>
      <w:proofErr w:type="gramEnd"/>
    </w:p>
    <w:p w:rsidR="0021198F" w:rsidRDefault="0021198F" w:rsidP="00A16AEB">
      <w:pPr>
        <w:spacing w:line="360" w:lineRule="auto"/>
        <w:jc w:val="both"/>
      </w:pPr>
    </w:p>
    <w:p w:rsidR="00BF5898" w:rsidRPr="00CE17CE" w:rsidRDefault="00BF5898" w:rsidP="00A16AEB">
      <w:pPr>
        <w:spacing w:line="360" w:lineRule="auto"/>
        <w:ind w:firstLine="720"/>
        <w:jc w:val="both"/>
      </w:pPr>
      <w:proofErr w:type="gramStart"/>
      <w:r w:rsidRPr="00CE17CE">
        <w:rPr>
          <w:b/>
          <w:bCs/>
        </w:rPr>
        <w:t>ORDERED FURTHER</w:t>
      </w:r>
      <w:r w:rsidRPr="00CE17CE">
        <w:t>, that a motion for reconsideration, rehearing, or oral argument or any other motion shall not stay the effective date of this Order, unless otherwise ordered by the Commission.</w:t>
      </w:r>
      <w:proofErr w:type="gramEnd"/>
    </w:p>
    <w:p w:rsidR="00BF5898" w:rsidRPr="00CE17CE" w:rsidRDefault="00BF5898" w:rsidP="00A16AEB">
      <w:pPr>
        <w:spacing w:line="360" w:lineRule="auto"/>
        <w:ind w:firstLine="720"/>
        <w:jc w:val="both"/>
      </w:pPr>
    </w:p>
    <w:p w:rsidR="008A0ED4" w:rsidRPr="00CE17CE" w:rsidRDefault="008A0ED4" w:rsidP="00A16AEB">
      <w:pPr>
        <w:spacing w:line="360" w:lineRule="auto"/>
        <w:ind w:firstLine="720"/>
        <w:jc w:val="both"/>
      </w:pPr>
      <w:r w:rsidRPr="00CE17CE">
        <w:rPr>
          <w:b/>
          <w:bCs/>
        </w:rPr>
        <w:t>ORDERED FURTHER</w:t>
      </w:r>
      <w:r w:rsidRPr="00CE17CE">
        <w:t>, that jurisdiction over this matter is expressly retained for the purpose of entering such further Order or Orders as this Commission may deem just and proper.</w:t>
      </w:r>
    </w:p>
    <w:p w:rsidR="008A0ED4" w:rsidRPr="00CE17CE" w:rsidRDefault="008A0ED4" w:rsidP="00A16AEB">
      <w:pPr>
        <w:spacing w:line="360" w:lineRule="auto"/>
        <w:jc w:val="both"/>
      </w:pPr>
    </w:p>
    <w:p w:rsidR="008A0ED4" w:rsidRPr="00CE17CE" w:rsidRDefault="008A0ED4" w:rsidP="00A16AEB">
      <w:pPr>
        <w:spacing w:line="360" w:lineRule="auto"/>
        <w:ind w:firstLine="720"/>
        <w:jc w:val="both"/>
      </w:pPr>
      <w:r w:rsidRPr="00CE17CE">
        <w:t xml:space="preserve">The above action was taken by the Commission in Administrative Session on the </w:t>
      </w:r>
      <w:r w:rsidR="00B05E0F">
        <w:t>23rd</w:t>
      </w:r>
      <w:r w:rsidRPr="00CE17CE">
        <w:t xml:space="preserve"> day of </w:t>
      </w:r>
      <w:r w:rsidR="00B05E0F">
        <w:t>October</w:t>
      </w:r>
      <w:r w:rsidRPr="00CE17CE">
        <w:t>, 201</w:t>
      </w:r>
      <w:r w:rsidR="009737F0" w:rsidRPr="00CE17CE">
        <w:t>4</w:t>
      </w:r>
      <w:r w:rsidRPr="00CE17CE">
        <w:t>.</w:t>
      </w:r>
    </w:p>
    <w:p w:rsidR="00E33946" w:rsidRPr="00CE17CE" w:rsidRDefault="00E33946" w:rsidP="00887963">
      <w:pPr>
        <w:ind w:firstLine="720"/>
        <w:jc w:val="both"/>
      </w:pPr>
    </w:p>
    <w:p w:rsidR="008A0ED4" w:rsidRPr="00CE17CE" w:rsidRDefault="008A0ED4" w:rsidP="004A2D33">
      <w:pPr>
        <w:jc w:val="both"/>
      </w:pPr>
    </w:p>
    <w:p w:rsidR="008A0ED4" w:rsidRPr="00CE17CE" w:rsidRDefault="008A0ED4" w:rsidP="004A2D33">
      <w:pPr>
        <w:jc w:val="both"/>
      </w:pPr>
    </w:p>
    <w:p w:rsidR="008A0ED4" w:rsidRPr="00CE17CE" w:rsidRDefault="008A0ED4" w:rsidP="004A2D33">
      <w:pPr>
        <w:jc w:val="both"/>
      </w:pPr>
      <w:r w:rsidRPr="00CE17CE">
        <w:t>_____________________________</w:t>
      </w:r>
      <w:r w:rsidRPr="00CE17CE">
        <w:tab/>
      </w:r>
      <w:r w:rsidRPr="00CE17CE">
        <w:tab/>
        <w:t>_____________________________</w:t>
      </w:r>
    </w:p>
    <w:p w:rsidR="008A0ED4" w:rsidRPr="00CE17CE" w:rsidRDefault="008A0ED4" w:rsidP="004A2D33">
      <w:pPr>
        <w:jc w:val="both"/>
      </w:pPr>
      <w:r w:rsidRPr="00CE17CE">
        <w:t>Reece McAlister</w:t>
      </w:r>
      <w:r w:rsidRPr="00CE17CE">
        <w:tab/>
      </w:r>
      <w:r w:rsidRPr="00CE17CE">
        <w:tab/>
      </w:r>
      <w:r w:rsidRPr="00CE17CE">
        <w:tab/>
      </w:r>
      <w:r w:rsidRPr="00CE17CE">
        <w:tab/>
      </w:r>
      <w:smartTag w:uri="urn:schemas-microsoft-com:office:smarttags" w:element="PersonName">
        <w:r w:rsidRPr="00CE17CE">
          <w:t>Chuck Eaton</w:t>
        </w:r>
      </w:smartTag>
    </w:p>
    <w:p w:rsidR="008A0ED4" w:rsidRPr="00CE17CE" w:rsidRDefault="008A0ED4" w:rsidP="004A2D33">
      <w:pPr>
        <w:jc w:val="both"/>
      </w:pPr>
      <w:r w:rsidRPr="00CE17CE">
        <w:t>Executive Secretary</w:t>
      </w:r>
      <w:r w:rsidRPr="00CE17CE">
        <w:tab/>
      </w:r>
      <w:r w:rsidRPr="00CE17CE">
        <w:tab/>
      </w:r>
      <w:r w:rsidRPr="00CE17CE">
        <w:tab/>
      </w:r>
      <w:r w:rsidRPr="00CE17CE">
        <w:tab/>
        <w:t>Chairman</w:t>
      </w:r>
    </w:p>
    <w:p w:rsidR="008A0ED4" w:rsidRPr="00CE17CE" w:rsidRDefault="008A0ED4" w:rsidP="004A2D33">
      <w:pPr>
        <w:jc w:val="both"/>
      </w:pPr>
    </w:p>
    <w:p w:rsidR="008A0ED4" w:rsidRPr="00CE17CE" w:rsidRDefault="008A0ED4" w:rsidP="004A2D33">
      <w:pPr>
        <w:jc w:val="both"/>
      </w:pPr>
    </w:p>
    <w:p w:rsidR="008A0ED4" w:rsidRPr="00CE17CE" w:rsidRDefault="008A0ED4" w:rsidP="004A2D33">
      <w:pPr>
        <w:jc w:val="both"/>
      </w:pPr>
    </w:p>
    <w:p w:rsidR="008A0ED4" w:rsidRPr="00CE17CE" w:rsidRDefault="008A0ED4" w:rsidP="004A2D33">
      <w:pPr>
        <w:jc w:val="both"/>
      </w:pPr>
      <w:r w:rsidRPr="00CE17CE">
        <w:t>_____________________________</w:t>
      </w:r>
      <w:r w:rsidRPr="00CE17CE">
        <w:tab/>
      </w:r>
      <w:r w:rsidRPr="00CE17CE">
        <w:tab/>
        <w:t>_____________________________</w:t>
      </w:r>
    </w:p>
    <w:p w:rsidR="008A0ED4" w:rsidRPr="00CE17CE" w:rsidRDefault="008A0ED4" w:rsidP="00E575A4">
      <w:pPr>
        <w:jc w:val="both"/>
      </w:pPr>
      <w:r w:rsidRPr="00CE17CE">
        <w:t>Date</w:t>
      </w:r>
      <w:r w:rsidRPr="00CE17CE">
        <w:tab/>
      </w:r>
      <w:r w:rsidRPr="00CE17CE">
        <w:tab/>
      </w:r>
      <w:r w:rsidRPr="00CE17CE">
        <w:tab/>
      </w:r>
      <w:r w:rsidRPr="00CE17CE">
        <w:tab/>
      </w:r>
      <w:r w:rsidRPr="00CE17CE">
        <w:tab/>
        <w:t xml:space="preserve">  </w:t>
      </w:r>
      <w:r w:rsidRPr="00CE17CE">
        <w:tab/>
      </w:r>
      <w:proofErr w:type="spellStart"/>
      <w:r w:rsidRPr="00CE17CE">
        <w:t>Date</w:t>
      </w:r>
      <w:proofErr w:type="spellEnd"/>
    </w:p>
    <w:sectPr w:rsidR="008A0ED4" w:rsidRPr="00CE17CE" w:rsidSect="0059571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AA0" w:rsidRDefault="00CE2AA0">
      <w:r>
        <w:separator/>
      </w:r>
    </w:p>
  </w:endnote>
  <w:endnote w:type="continuationSeparator" w:id="0">
    <w:p w:rsidR="00CE2AA0" w:rsidRDefault="00CE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B3" w:rsidRPr="00F8664B" w:rsidRDefault="003113B3" w:rsidP="00F8664B">
    <w:pPr>
      <w:pStyle w:val="Footer"/>
      <w:jc w:val="center"/>
      <w:rPr>
        <w:sz w:val="20"/>
        <w:szCs w:val="20"/>
      </w:rPr>
    </w:pPr>
    <w:r w:rsidRPr="00F8664B">
      <w:rPr>
        <w:sz w:val="20"/>
        <w:szCs w:val="20"/>
      </w:rPr>
      <w:t xml:space="preserve">Docket No. </w:t>
    </w:r>
    <w:r w:rsidR="00B73108">
      <w:rPr>
        <w:sz w:val="20"/>
        <w:szCs w:val="20"/>
      </w:rPr>
      <w:t>24505</w:t>
    </w:r>
  </w:p>
  <w:p w:rsidR="003113B3" w:rsidRPr="000D5EB1" w:rsidRDefault="003113B3" w:rsidP="00B73108">
    <w:pPr>
      <w:pStyle w:val="Footer"/>
      <w:jc w:val="center"/>
      <w:rPr>
        <w:sz w:val="20"/>
        <w:szCs w:val="20"/>
      </w:rPr>
    </w:pPr>
    <w:r>
      <w:rPr>
        <w:sz w:val="20"/>
        <w:szCs w:val="20"/>
      </w:rPr>
      <w:t xml:space="preserve">Order Approving </w:t>
    </w:r>
    <w:r w:rsidR="00B73108">
      <w:rPr>
        <w:sz w:val="20"/>
        <w:szCs w:val="20"/>
      </w:rPr>
      <w:t>Solar Projects at Army Bases</w:t>
    </w:r>
  </w:p>
  <w:p w:rsidR="003113B3" w:rsidRPr="00F8664B" w:rsidRDefault="003113B3" w:rsidP="00F8664B">
    <w:pPr>
      <w:pStyle w:val="Footer"/>
      <w:jc w:val="center"/>
      <w:rPr>
        <w:sz w:val="20"/>
        <w:szCs w:val="20"/>
      </w:rPr>
    </w:pPr>
    <w:r w:rsidRPr="00F8664B">
      <w:rPr>
        <w:sz w:val="20"/>
        <w:szCs w:val="20"/>
      </w:rPr>
      <w:t xml:space="preserve">Page </w:t>
    </w:r>
    <w:r w:rsidR="003F43BF" w:rsidRPr="00F8664B">
      <w:rPr>
        <w:rStyle w:val="PageNumber"/>
        <w:sz w:val="20"/>
        <w:szCs w:val="20"/>
      </w:rPr>
      <w:fldChar w:fldCharType="begin"/>
    </w:r>
    <w:r w:rsidRPr="00F8664B">
      <w:rPr>
        <w:rStyle w:val="PageNumber"/>
        <w:sz w:val="20"/>
        <w:szCs w:val="20"/>
      </w:rPr>
      <w:instrText xml:space="preserve"> PAGE </w:instrText>
    </w:r>
    <w:r w:rsidR="003F43BF" w:rsidRPr="00F8664B">
      <w:rPr>
        <w:rStyle w:val="PageNumber"/>
        <w:sz w:val="20"/>
        <w:szCs w:val="20"/>
      </w:rPr>
      <w:fldChar w:fldCharType="separate"/>
    </w:r>
    <w:r w:rsidR="00840B31">
      <w:rPr>
        <w:rStyle w:val="PageNumber"/>
        <w:noProof/>
        <w:sz w:val="20"/>
        <w:szCs w:val="20"/>
      </w:rPr>
      <w:t>1</w:t>
    </w:r>
    <w:r w:rsidR="003F43BF" w:rsidRPr="00F8664B">
      <w:rPr>
        <w:rStyle w:val="PageNumber"/>
        <w:sz w:val="20"/>
        <w:szCs w:val="20"/>
      </w:rPr>
      <w:fldChar w:fldCharType="end"/>
    </w:r>
    <w:r w:rsidRPr="00F8664B">
      <w:rPr>
        <w:rStyle w:val="PageNumber"/>
        <w:sz w:val="20"/>
        <w:szCs w:val="20"/>
      </w:rPr>
      <w:t xml:space="preserve"> of </w:t>
    </w:r>
    <w:r w:rsidR="003F43BF" w:rsidRPr="00F8664B">
      <w:rPr>
        <w:rStyle w:val="PageNumber"/>
        <w:sz w:val="20"/>
        <w:szCs w:val="20"/>
      </w:rPr>
      <w:fldChar w:fldCharType="begin"/>
    </w:r>
    <w:r w:rsidRPr="00F8664B">
      <w:rPr>
        <w:rStyle w:val="PageNumber"/>
        <w:sz w:val="20"/>
        <w:szCs w:val="20"/>
      </w:rPr>
      <w:instrText xml:space="preserve"> NUMPAGES </w:instrText>
    </w:r>
    <w:r w:rsidR="003F43BF" w:rsidRPr="00F8664B">
      <w:rPr>
        <w:rStyle w:val="PageNumber"/>
        <w:sz w:val="20"/>
        <w:szCs w:val="20"/>
      </w:rPr>
      <w:fldChar w:fldCharType="separate"/>
    </w:r>
    <w:r w:rsidR="00840B31">
      <w:rPr>
        <w:rStyle w:val="PageNumber"/>
        <w:noProof/>
        <w:sz w:val="20"/>
        <w:szCs w:val="20"/>
      </w:rPr>
      <w:t>7</w:t>
    </w:r>
    <w:r w:rsidR="003F43BF" w:rsidRPr="00F8664B">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AA0" w:rsidRDefault="00CE2AA0">
      <w:r>
        <w:separator/>
      </w:r>
    </w:p>
  </w:footnote>
  <w:footnote w:type="continuationSeparator" w:id="0">
    <w:p w:rsidR="00CE2AA0" w:rsidRDefault="00CE2AA0">
      <w:r>
        <w:continuationSeparator/>
      </w:r>
    </w:p>
  </w:footnote>
  <w:footnote w:id="1">
    <w:p w:rsidR="00B73108" w:rsidRPr="00B53F0A" w:rsidRDefault="00B73108" w:rsidP="00B73108">
      <w:pPr>
        <w:pStyle w:val="FootnoteText"/>
        <w:rPr>
          <w:rFonts w:ascii="Times New Roman" w:hAnsi="Times New Roman"/>
        </w:rPr>
      </w:pPr>
      <w:r w:rsidRPr="00B53F0A">
        <w:rPr>
          <w:rStyle w:val="FootnoteReference"/>
          <w:rFonts w:ascii="Times New Roman" w:hAnsi="Times New Roman"/>
        </w:rPr>
        <w:footnoteRef/>
      </w:r>
      <w:r w:rsidRPr="00B53F0A">
        <w:rPr>
          <w:rFonts w:ascii="Times New Roman" w:hAnsi="Times New Roman"/>
        </w:rPr>
        <w:t xml:space="preserve"> </w:t>
      </w:r>
      <w:r w:rsidRPr="00B53F0A">
        <w:rPr>
          <w:rFonts w:ascii="Times New Roman" w:hAnsi="Times New Roman"/>
          <w:lang w:val="en-US"/>
        </w:rPr>
        <w:t>http://www.seia.org/policy/environment/pv-recycling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B3" w:rsidRPr="007D69B1" w:rsidRDefault="003113B3" w:rsidP="007D69B1">
    <w:pPr>
      <w:pStyle w:val="Header"/>
      <w:jc w:val="center"/>
      <w:rPr>
        <w:sz w:val="40"/>
        <w:szCs w:val="4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92E0A"/>
    <w:multiLevelType w:val="hybridMultilevel"/>
    <w:tmpl w:val="F4DC609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EA6396D"/>
    <w:multiLevelType w:val="hybridMultilevel"/>
    <w:tmpl w:val="8D3A6AF2"/>
    <w:lvl w:ilvl="0" w:tplc="0409000F">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103C761E"/>
    <w:multiLevelType w:val="hybridMultilevel"/>
    <w:tmpl w:val="8DB8411E"/>
    <w:lvl w:ilvl="0" w:tplc="0B6CA580">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CE742ED"/>
    <w:multiLevelType w:val="hybridMultilevel"/>
    <w:tmpl w:val="66206EAC"/>
    <w:lvl w:ilvl="0" w:tplc="0409000F">
      <w:start w:val="4"/>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C1D5290"/>
    <w:multiLevelType w:val="hybridMultilevel"/>
    <w:tmpl w:val="5C44F5F6"/>
    <w:lvl w:ilvl="0" w:tplc="2130B60C">
      <w:start w:val="7"/>
      <w:numFmt w:val="decimal"/>
      <w:lvlText w:val="%1."/>
      <w:lvlJc w:val="left"/>
      <w:pPr>
        <w:tabs>
          <w:tab w:val="num" w:pos="810"/>
        </w:tabs>
        <w:ind w:left="810" w:hanging="45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4DFF0534"/>
    <w:multiLevelType w:val="hybridMultilevel"/>
    <w:tmpl w:val="569AB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273"/>
    <w:rsid w:val="000140FB"/>
    <w:rsid w:val="00022CE6"/>
    <w:rsid w:val="00023598"/>
    <w:rsid w:val="000308B7"/>
    <w:rsid w:val="00030AC2"/>
    <w:rsid w:val="00030D2E"/>
    <w:rsid w:val="00034E97"/>
    <w:rsid w:val="00053C5A"/>
    <w:rsid w:val="00054024"/>
    <w:rsid w:val="0006159F"/>
    <w:rsid w:val="00072679"/>
    <w:rsid w:val="00077785"/>
    <w:rsid w:val="00080ED0"/>
    <w:rsid w:val="000A0D70"/>
    <w:rsid w:val="000A71CF"/>
    <w:rsid w:val="000B5280"/>
    <w:rsid w:val="000B6F17"/>
    <w:rsid w:val="000C42C6"/>
    <w:rsid w:val="000D0313"/>
    <w:rsid w:val="000D5EB1"/>
    <w:rsid w:val="000D6007"/>
    <w:rsid w:val="000F4631"/>
    <w:rsid w:val="00100552"/>
    <w:rsid w:val="0010532C"/>
    <w:rsid w:val="0010541F"/>
    <w:rsid w:val="00105870"/>
    <w:rsid w:val="00106822"/>
    <w:rsid w:val="00113384"/>
    <w:rsid w:val="00114DF6"/>
    <w:rsid w:val="0011503E"/>
    <w:rsid w:val="00115598"/>
    <w:rsid w:val="00116524"/>
    <w:rsid w:val="00140B71"/>
    <w:rsid w:val="001417A0"/>
    <w:rsid w:val="00163C4E"/>
    <w:rsid w:val="001943B4"/>
    <w:rsid w:val="00197792"/>
    <w:rsid w:val="001A0E5F"/>
    <w:rsid w:val="001B7E58"/>
    <w:rsid w:val="001D045B"/>
    <w:rsid w:val="001E2587"/>
    <w:rsid w:val="001E42B8"/>
    <w:rsid w:val="0021198F"/>
    <w:rsid w:val="00216889"/>
    <w:rsid w:val="002170D9"/>
    <w:rsid w:val="0022263E"/>
    <w:rsid w:val="00231664"/>
    <w:rsid w:val="00234803"/>
    <w:rsid w:val="00234B16"/>
    <w:rsid w:val="002359B7"/>
    <w:rsid w:val="00235B5C"/>
    <w:rsid w:val="00254C52"/>
    <w:rsid w:val="00255492"/>
    <w:rsid w:val="002629BD"/>
    <w:rsid w:val="00272D63"/>
    <w:rsid w:val="00275453"/>
    <w:rsid w:val="00284DC2"/>
    <w:rsid w:val="002853AF"/>
    <w:rsid w:val="00285CFA"/>
    <w:rsid w:val="0029707C"/>
    <w:rsid w:val="002B3EF7"/>
    <w:rsid w:val="002B5CE1"/>
    <w:rsid w:val="002C0215"/>
    <w:rsid w:val="002D0B7A"/>
    <w:rsid w:val="003113B3"/>
    <w:rsid w:val="003138F4"/>
    <w:rsid w:val="00331211"/>
    <w:rsid w:val="00335748"/>
    <w:rsid w:val="00344E9F"/>
    <w:rsid w:val="00345C27"/>
    <w:rsid w:val="00356C5B"/>
    <w:rsid w:val="003570CD"/>
    <w:rsid w:val="00373B39"/>
    <w:rsid w:val="003A58A0"/>
    <w:rsid w:val="003B399E"/>
    <w:rsid w:val="003C1EE1"/>
    <w:rsid w:val="003D0C03"/>
    <w:rsid w:val="003D1493"/>
    <w:rsid w:val="003D27F9"/>
    <w:rsid w:val="003D6B7B"/>
    <w:rsid w:val="003F1894"/>
    <w:rsid w:val="003F259D"/>
    <w:rsid w:val="003F43BF"/>
    <w:rsid w:val="004050F4"/>
    <w:rsid w:val="00410435"/>
    <w:rsid w:val="004175CE"/>
    <w:rsid w:val="00420E82"/>
    <w:rsid w:val="00427EF4"/>
    <w:rsid w:val="00427FF8"/>
    <w:rsid w:val="00432AF7"/>
    <w:rsid w:val="0045453E"/>
    <w:rsid w:val="004741A7"/>
    <w:rsid w:val="00482508"/>
    <w:rsid w:val="004A2D33"/>
    <w:rsid w:val="004B1A1B"/>
    <w:rsid w:val="004C1E6A"/>
    <w:rsid w:val="004D7040"/>
    <w:rsid w:val="004E03A6"/>
    <w:rsid w:val="004E060B"/>
    <w:rsid w:val="004F0A7C"/>
    <w:rsid w:val="00502ADB"/>
    <w:rsid w:val="00507E40"/>
    <w:rsid w:val="00512061"/>
    <w:rsid w:val="00522010"/>
    <w:rsid w:val="0054020F"/>
    <w:rsid w:val="005666CA"/>
    <w:rsid w:val="0058381C"/>
    <w:rsid w:val="005939F8"/>
    <w:rsid w:val="00595711"/>
    <w:rsid w:val="00596655"/>
    <w:rsid w:val="005A06A8"/>
    <w:rsid w:val="005A695C"/>
    <w:rsid w:val="005B456B"/>
    <w:rsid w:val="005B6289"/>
    <w:rsid w:val="005C005F"/>
    <w:rsid w:val="005E17D2"/>
    <w:rsid w:val="005E3F06"/>
    <w:rsid w:val="005E43E6"/>
    <w:rsid w:val="005E4B13"/>
    <w:rsid w:val="005E54F1"/>
    <w:rsid w:val="005F02A9"/>
    <w:rsid w:val="00603BC6"/>
    <w:rsid w:val="00613B34"/>
    <w:rsid w:val="00614E0C"/>
    <w:rsid w:val="00636329"/>
    <w:rsid w:val="00655BF6"/>
    <w:rsid w:val="00662869"/>
    <w:rsid w:val="006638EB"/>
    <w:rsid w:val="006A155F"/>
    <w:rsid w:val="006C3426"/>
    <w:rsid w:val="006E4748"/>
    <w:rsid w:val="006E5573"/>
    <w:rsid w:val="0070351C"/>
    <w:rsid w:val="00713506"/>
    <w:rsid w:val="007215A5"/>
    <w:rsid w:val="00721994"/>
    <w:rsid w:val="00722B30"/>
    <w:rsid w:val="007355F8"/>
    <w:rsid w:val="007526F4"/>
    <w:rsid w:val="00767FF8"/>
    <w:rsid w:val="00772A59"/>
    <w:rsid w:val="007A4517"/>
    <w:rsid w:val="007A561C"/>
    <w:rsid w:val="007A7C71"/>
    <w:rsid w:val="007C4CAE"/>
    <w:rsid w:val="007D69B1"/>
    <w:rsid w:val="007F54D2"/>
    <w:rsid w:val="008075E8"/>
    <w:rsid w:val="00814A35"/>
    <w:rsid w:val="00822F69"/>
    <w:rsid w:val="008241AC"/>
    <w:rsid w:val="0082534A"/>
    <w:rsid w:val="008378A3"/>
    <w:rsid w:val="00840B31"/>
    <w:rsid w:val="00853C57"/>
    <w:rsid w:val="008650E2"/>
    <w:rsid w:val="00872406"/>
    <w:rsid w:val="00887963"/>
    <w:rsid w:val="00891D26"/>
    <w:rsid w:val="00893150"/>
    <w:rsid w:val="008A0ED4"/>
    <w:rsid w:val="008A2B42"/>
    <w:rsid w:val="008A646F"/>
    <w:rsid w:val="008A718F"/>
    <w:rsid w:val="008B1615"/>
    <w:rsid w:val="008D49B7"/>
    <w:rsid w:val="008D49E3"/>
    <w:rsid w:val="008E79C5"/>
    <w:rsid w:val="008F364E"/>
    <w:rsid w:val="008F4306"/>
    <w:rsid w:val="009048FA"/>
    <w:rsid w:val="0090785B"/>
    <w:rsid w:val="00940681"/>
    <w:rsid w:val="0095275C"/>
    <w:rsid w:val="00952D11"/>
    <w:rsid w:val="00955C82"/>
    <w:rsid w:val="00961C17"/>
    <w:rsid w:val="009622C9"/>
    <w:rsid w:val="009737F0"/>
    <w:rsid w:val="0098524E"/>
    <w:rsid w:val="00987423"/>
    <w:rsid w:val="00990D56"/>
    <w:rsid w:val="009B7BC5"/>
    <w:rsid w:val="009C1415"/>
    <w:rsid w:val="009C15EE"/>
    <w:rsid w:val="009C31CD"/>
    <w:rsid w:val="009D0A7D"/>
    <w:rsid w:val="009D26B3"/>
    <w:rsid w:val="009D64A3"/>
    <w:rsid w:val="009D7184"/>
    <w:rsid w:val="009F462F"/>
    <w:rsid w:val="00A044FF"/>
    <w:rsid w:val="00A16AEB"/>
    <w:rsid w:val="00A21640"/>
    <w:rsid w:val="00A25908"/>
    <w:rsid w:val="00A305A8"/>
    <w:rsid w:val="00A501AC"/>
    <w:rsid w:val="00A631A7"/>
    <w:rsid w:val="00A65D32"/>
    <w:rsid w:val="00A81A7B"/>
    <w:rsid w:val="00A86E1E"/>
    <w:rsid w:val="00A86EBB"/>
    <w:rsid w:val="00A90617"/>
    <w:rsid w:val="00A910DA"/>
    <w:rsid w:val="00A923B3"/>
    <w:rsid w:val="00A93477"/>
    <w:rsid w:val="00A941D1"/>
    <w:rsid w:val="00A96F9E"/>
    <w:rsid w:val="00AC18BA"/>
    <w:rsid w:val="00AC330D"/>
    <w:rsid w:val="00AC7E08"/>
    <w:rsid w:val="00AD0F18"/>
    <w:rsid w:val="00AD662B"/>
    <w:rsid w:val="00AD6CF0"/>
    <w:rsid w:val="00AE758C"/>
    <w:rsid w:val="00AF4142"/>
    <w:rsid w:val="00B025F0"/>
    <w:rsid w:val="00B05E0F"/>
    <w:rsid w:val="00B241E1"/>
    <w:rsid w:val="00B331C9"/>
    <w:rsid w:val="00B36698"/>
    <w:rsid w:val="00B51337"/>
    <w:rsid w:val="00B56402"/>
    <w:rsid w:val="00B64AF2"/>
    <w:rsid w:val="00B65273"/>
    <w:rsid w:val="00B70926"/>
    <w:rsid w:val="00B73108"/>
    <w:rsid w:val="00B733CC"/>
    <w:rsid w:val="00B73D5F"/>
    <w:rsid w:val="00B7745C"/>
    <w:rsid w:val="00B87349"/>
    <w:rsid w:val="00BA0AB8"/>
    <w:rsid w:val="00BA18ED"/>
    <w:rsid w:val="00BA4334"/>
    <w:rsid w:val="00BE2C80"/>
    <w:rsid w:val="00BE502F"/>
    <w:rsid w:val="00BE5C64"/>
    <w:rsid w:val="00BF38B0"/>
    <w:rsid w:val="00BF5898"/>
    <w:rsid w:val="00C01B9D"/>
    <w:rsid w:val="00C14F5A"/>
    <w:rsid w:val="00C26018"/>
    <w:rsid w:val="00C3024F"/>
    <w:rsid w:val="00C31204"/>
    <w:rsid w:val="00C63655"/>
    <w:rsid w:val="00C7452B"/>
    <w:rsid w:val="00C74E81"/>
    <w:rsid w:val="00C81B53"/>
    <w:rsid w:val="00C81FD1"/>
    <w:rsid w:val="00CA70BF"/>
    <w:rsid w:val="00CE0B79"/>
    <w:rsid w:val="00CE17CE"/>
    <w:rsid w:val="00CE2AA0"/>
    <w:rsid w:val="00CF617C"/>
    <w:rsid w:val="00D067F4"/>
    <w:rsid w:val="00D12BF4"/>
    <w:rsid w:val="00D25A86"/>
    <w:rsid w:val="00D411B6"/>
    <w:rsid w:val="00D47EB6"/>
    <w:rsid w:val="00D654B4"/>
    <w:rsid w:val="00D87F93"/>
    <w:rsid w:val="00D93371"/>
    <w:rsid w:val="00D94786"/>
    <w:rsid w:val="00DA5A3E"/>
    <w:rsid w:val="00DA708D"/>
    <w:rsid w:val="00DC711A"/>
    <w:rsid w:val="00DD609B"/>
    <w:rsid w:val="00DE54A0"/>
    <w:rsid w:val="00E06B24"/>
    <w:rsid w:val="00E17203"/>
    <w:rsid w:val="00E33946"/>
    <w:rsid w:val="00E402E2"/>
    <w:rsid w:val="00E575A4"/>
    <w:rsid w:val="00E62929"/>
    <w:rsid w:val="00E81ED9"/>
    <w:rsid w:val="00E859DE"/>
    <w:rsid w:val="00EA608C"/>
    <w:rsid w:val="00EB625D"/>
    <w:rsid w:val="00EC0775"/>
    <w:rsid w:val="00EC6995"/>
    <w:rsid w:val="00EC6CB7"/>
    <w:rsid w:val="00EE065E"/>
    <w:rsid w:val="00F01F7A"/>
    <w:rsid w:val="00F157E7"/>
    <w:rsid w:val="00F30E79"/>
    <w:rsid w:val="00F471F2"/>
    <w:rsid w:val="00F542F9"/>
    <w:rsid w:val="00F70AB3"/>
    <w:rsid w:val="00F74509"/>
    <w:rsid w:val="00F8664B"/>
    <w:rsid w:val="00FB010C"/>
    <w:rsid w:val="00FB541C"/>
    <w:rsid w:val="00FC2B7E"/>
    <w:rsid w:val="00FC6D66"/>
    <w:rsid w:val="00FD09C3"/>
    <w:rsid w:val="00FF2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locked="1"/>
    <w:lsdException w:name="header" w:locked="1"/>
    <w:lsdException w:name="footer" w:locked="1"/>
    <w:lsdException w:name="caption" w:locked="1" w:semiHidden="1" w:unhideWhenUsed="1" w:qFormat="1"/>
    <w:lsdException w:name="footnote reference" w:uiPriority="99"/>
    <w:lsdException w:name="annotation reference" w:locked="1"/>
    <w:lsdException w:name="page number" w:locked="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annotation subject"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69B1"/>
    <w:pPr>
      <w:tabs>
        <w:tab w:val="center" w:pos="4320"/>
        <w:tab w:val="right" w:pos="8640"/>
      </w:tabs>
    </w:pPr>
  </w:style>
  <w:style w:type="character" w:customStyle="1" w:styleId="HeaderChar">
    <w:name w:val="Header Char"/>
    <w:link w:val="Header"/>
    <w:semiHidden/>
    <w:locked/>
    <w:rsid w:val="00410435"/>
    <w:rPr>
      <w:rFonts w:cs="Times New Roman"/>
      <w:sz w:val="24"/>
      <w:szCs w:val="24"/>
    </w:rPr>
  </w:style>
  <w:style w:type="paragraph" w:styleId="Footer">
    <w:name w:val="footer"/>
    <w:basedOn w:val="Normal"/>
    <w:link w:val="FooterChar"/>
    <w:rsid w:val="007D69B1"/>
    <w:pPr>
      <w:tabs>
        <w:tab w:val="center" w:pos="4320"/>
        <w:tab w:val="right" w:pos="8640"/>
      </w:tabs>
    </w:pPr>
  </w:style>
  <w:style w:type="character" w:customStyle="1" w:styleId="FooterChar">
    <w:name w:val="Footer Char"/>
    <w:link w:val="Footer"/>
    <w:semiHidden/>
    <w:locked/>
    <w:rsid w:val="00410435"/>
    <w:rPr>
      <w:rFonts w:cs="Times New Roman"/>
      <w:sz w:val="24"/>
      <w:szCs w:val="24"/>
    </w:rPr>
  </w:style>
  <w:style w:type="paragraph" w:styleId="BalloonText">
    <w:name w:val="Balloon Text"/>
    <w:basedOn w:val="Normal"/>
    <w:link w:val="BalloonTextChar"/>
    <w:semiHidden/>
    <w:rsid w:val="00721994"/>
    <w:rPr>
      <w:sz w:val="2"/>
      <w:szCs w:val="2"/>
    </w:rPr>
  </w:style>
  <w:style w:type="character" w:customStyle="1" w:styleId="BalloonTextChar">
    <w:name w:val="Balloon Text Char"/>
    <w:link w:val="BalloonText"/>
    <w:semiHidden/>
    <w:locked/>
    <w:rsid w:val="00410435"/>
    <w:rPr>
      <w:rFonts w:cs="Times New Roman"/>
      <w:sz w:val="2"/>
      <w:szCs w:val="2"/>
    </w:rPr>
  </w:style>
  <w:style w:type="character" w:styleId="PageNumber">
    <w:name w:val="page number"/>
    <w:rsid w:val="00F8664B"/>
    <w:rPr>
      <w:rFonts w:cs="Times New Roman"/>
    </w:rPr>
  </w:style>
  <w:style w:type="character" w:styleId="CommentReference">
    <w:name w:val="annotation reference"/>
    <w:semiHidden/>
    <w:rsid w:val="00DE54A0"/>
    <w:rPr>
      <w:rFonts w:cs="Times New Roman"/>
      <w:sz w:val="16"/>
      <w:szCs w:val="16"/>
    </w:rPr>
  </w:style>
  <w:style w:type="paragraph" w:styleId="CommentText">
    <w:name w:val="annotation text"/>
    <w:basedOn w:val="Normal"/>
    <w:link w:val="CommentTextChar"/>
    <w:semiHidden/>
    <w:rsid w:val="00DE54A0"/>
    <w:rPr>
      <w:sz w:val="20"/>
      <w:szCs w:val="20"/>
    </w:rPr>
  </w:style>
  <w:style w:type="character" w:customStyle="1" w:styleId="CommentTextChar">
    <w:name w:val="Comment Text Char"/>
    <w:link w:val="CommentText"/>
    <w:semiHidden/>
    <w:locked/>
    <w:rsid w:val="00DE54A0"/>
    <w:rPr>
      <w:rFonts w:cs="Times New Roman"/>
      <w:sz w:val="20"/>
      <w:szCs w:val="20"/>
    </w:rPr>
  </w:style>
  <w:style w:type="paragraph" w:styleId="CommentSubject">
    <w:name w:val="annotation subject"/>
    <w:basedOn w:val="CommentText"/>
    <w:next w:val="CommentText"/>
    <w:link w:val="CommentSubjectChar"/>
    <w:semiHidden/>
    <w:rsid w:val="00DE54A0"/>
    <w:rPr>
      <w:b/>
      <w:bCs/>
    </w:rPr>
  </w:style>
  <w:style w:type="character" w:customStyle="1" w:styleId="CommentSubjectChar">
    <w:name w:val="Comment Subject Char"/>
    <w:link w:val="CommentSubject"/>
    <w:semiHidden/>
    <w:locked/>
    <w:rsid w:val="00DE54A0"/>
    <w:rPr>
      <w:rFonts w:cs="Times New Roman"/>
      <w:b/>
      <w:bCs/>
      <w:sz w:val="20"/>
      <w:szCs w:val="20"/>
    </w:rPr>
  </w:style>
  <w:style w:type="paragraph" w:customStyle="1" w:styleId="msolistparagraph0">
    <w:name w:val="msolistparagraph"/>
    <w:basedOn w:val="Normal"/>
    <w:rsid w:val="00FC2B7E"/>
    <w:pPr>
      <w:ind w:left="720"/>
    </w:pPr>
    <w:rPr>
      <w:rFonts w:ascii="Calibri" w:eastAsia="SimSun" w:hAnsi="Calibri"/>
      <w:sz w:val="22"/>
      <w:szCs w:val="22"/>
      <w:lang w:eastAsia="zh-CN"/>
    </w:rPr>
  </w:style>
  <w:style w:type="paragraph" w:styleId="ListParagraph">
    <w:name w:val="List Paragraph"/>
    <w:basedOn w:val="Normal"/>
    <w:uiPriority w:val="34"/>
    <w:qFormat/>
    <w:rsid w:val="009737F0"/>
    <w:pPr>
      <w:ind w:left="720"/>
    </w:pPr>
  </w:style>
  <w:style w:type="character" w:styleId="Hyperlink">
    <w:name w:val="Hyperlink"/>
    <w:uiPriority w:val="99"/>
    <w:unhideWhenUsed/>
    <w:rsid w:val="00C74E81"/>
    <w:rPr>
      <w:strike w:val="0"/>
      <w:dstrike w:val="0"/>
      <w:color w:val="0088CC"/>
      <w:u w:val="none"/>
      <w:effect w:val="none"/>
    </w:rPr>
  </w:style>
  <w:style w:type="paragraph" w:styleId="BodyText">
    <w:name w:val="Body Text"/>
    <w:basedOn w:val="Normal"/>
    <w:link w:val="BodyTextChar"/>
    <w:rsid w:val="00893150"/>
    <w:pPr>
      <w:spacing w:after="120"/>
    </w:pPr>
  </w:style>
  <w:style w:type="character" w:customStyle="1" w:styleId="BodyTextChar">
    <w:name w:val="Body Text Char"/>
    <w:link w:val="BodyText"/>
    <w:rsid w:val="00893150"/>
    <w:rPr>
      <w:sz w:val="24"/>
      <w:szCs w:val="24"/>
    </w:rPr>
  </w:style>
  <w:style w:type="paragraph" w:customStyle="1" w:styleId="articlel2">
    <w:name w:val="articlel2"/>
    <w:basedOn w:val="Normal"/>
    <w:rsid w:val="00893150"/>
    <w:pPr>
      <w:spacing w:before="100" w:beforeAutospacing="1" w:after="100" w:afterAutospacing="1"/>
    </w:pPr>
    <w:rPr>
      <w:rFonts w:eastAsia="Calibri"/>
    </w:rPr>
  </w:style>
  <w:style w:type="paragraph" w:styleId="FootnoteText">
    <w:name w:val="footnote text"/>
    <w:basedOn w:val="Normal"/>
    <w:link w:val="FootnoteTextChar"/>
    <w:uiPriority w:val="99"/>
    <w:unhideWhenUsed/>
    <w:rsid w:val="00B73108"/>
    <w:rPr>
      <w:rFonts w:ascii="Calibri" w:eastAsia="Calibri" w:hAnsi="Calibri"/>
      <w:sz w:val="20"/>
      <w:szCs w:val="20"/>
      <w:lang w:val="x-none" w:eastAsia="x-none"/>
    </w:rPr>
  </w:style>
  <w:style w:type="character" w:customStyle="1" w:styleId="FootnoteTextChar">
    <w:name w:val="Footnote Text Char"/>
    <w:basedOn w:val="DefaultParagraphFont"/>
    <w:link w:val="FootnoteText"/>
    <w:uiPriority w:val="99"/>
    <w:rsid w:val="00B73108"/>
    <w:rPr>
      <w:rFonts w:ascii="Calibri" w:eastAsia="Calibri" w:hAnsi="Calibri"/>
      <w:lang w:val="x-none" w:eastAsia="x-none"/>
    </w:rPr>
  </w:style>
  <w:style w:type="character" w:styleId="FootnoteReference">
    <w:name w:val="footnote reference"/>
    <w:uiPriority w:val="99"/>
    <w:unhideWhenUsed/>
    <w:rsid w:val="00B7310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locked="1"/>
    <w:lsdException w:name="header" w:locked="1"/>
    <w:lsdException w:name="footer" w:locked="1"/>
    <w:lsdException w:name="caption" w:locked="1" w:semiHidden="1" w:unhideWhenUsed="1" w:qFormat="1"/>
    <w:lsdException w:name="footnote reference" w:uiPriority="99"/>
    <w:lsdException w:name="annotation reference" w:locked="1"/>
    <w:lsdException w:name="page number" w:locked="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annotation subject"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69B1"/>
    <w:pPr>
      <w:tabs>
        <w:tab w:val="center" w:pos="4320"/>
        <w:tab w:val="right" w:pos="8640"/>
      </w:tabs>
    </w:pPr>
  </w:style>
  <w:style w:type="character" w:customStyle="1" w:styleId="HeaderChar">
    <w:name w:val="Header Char"/>
    <w:link w:val="Header"/>
    <w:semiHidden/>
    <w:locked/>
    <w:rsid w:val="00410435"/>
    <w:rPr>
      <w:rFonts w:cs="Times New Roman"/>
      <w:sz w:val="24"/>
      <w:szCs w:val="24"/>
    </w:rPr>
  </w:style>
  <w:style w:type="paragraph" w:styleId="Footer">
    <w:name w:val="footer"/>
    <w:basedOn w:val="Normal"/>
    <w:link w:val="FooterChar"/>
    <w:rsid w:val="007D69B1"/>
    <w:pPr>
      <w:tabs>
        <w:tab w:val="center" w:pos="4320"/>
        <w:tab w:val="right" w:pos="8640"/>
      </w:tabs>
    </w:pPr>
  </w:style>
  <w:style w:type="character" w:customStyle="1" w:styleId="FooterChar">
    <w:name w:val="Footer Char"/>
    <w:link w:val="Footer"/>
    <w:semiHidden/>
    <w:locked/>
    <w:rsid w:val="00410435"/>
    <w:rPr>
      <w:rFonts w:cs="Times New Roman"/>
      <w:sz w:val="24"/>
      <w:szCs w:val="24"/>
    </w:rPr>
  </w:style>
  <w:style w:type="paragraph" w:styleId="BalloonText">
    <w:name w:val="Balloon Text"/>
    <w:basedOn w:val="Normal"/>
    <w:link w:val="BalloonTextChar"/>
    <w:semiHidden/>
    <w:rsid w:val="00721994"/>
    <w:rPr>
      <w:sz w:val="2"/>
      <w:szCs w:val="2"/>
    </w:rPr>
  </w:style>
  <w:style w:type="character" w:customStyle="1" w:styleId="BalloonTextChar">
    <w:name w:val="Balloon Text Char"/>
    <w:link w:val="BalloonText"/>
    <w:semiHidden/>
    <w:locked/>
    <w:rsid w:val="00410435"/>
    <w:rPr>
      <w:rFonts w:cs="Times New Roman"/>
      <w:sz w:val="2"/>
      <w:szCs w:val="2"/>
    </w:rPr>
  </w:style>
  <w:style w:type="character" w:styleId="PageNumber">
    <w:name w:val="page number"/>
    <w:rsid w:val="00F8664B"/>
    <w:rPr>
      <w:rFonts w:cs="Times New Roman"/>
    </w:rPr>
  </w:style>
  <w:style w:type="character" w:styleId="CommentReference">
    <w:name w:val="annotation reference"/>
    <w:semiHidden/>
    <w:rsid w:val="00DE54A0"/>
    <w:rPr>
      <w:rFonts w:cs="Times New Roman"/>
      <w:sz w:val="16"/>
      <w:szCs w:val="16"/>
    </w:rPr>
  </w:style>
  <w:style w:type="paragraph" w:styleId="CommentText">
    <w:name w:val="annotation text"/>
    <w:basedOn w:val="Normal"/>
    <w:link w:val="CommentTextChar"/>
    <w:semiHidden/>
    <w:rsid w:val="00DE54A0"/>
    <w:rPr>
      <w:sz w:val="20"/>
      <w:szCs w:val="20"/>
    </w:rPr>
  </w:style>
  <w:style w:type="character" w:customStyle="1" w:styleId="CommentTextChar">
    <w:name w:val="Comment Text Char"/>
    <w:link w:val="CommentText"/>
    <w:semiHidden/>
    <w:locked/>
    <w:rsid w:val="00DE54A0"/>
    <w:rPr>
      <w:rFonts w:cs="Times New Roman"/>
      <w:sz w:val="20"/>
      <w:szCs w:val="20"/>
    </w:rPr>
  </w:style>
  <w:style w:type="paragraph" w:styleId="CommentSubject">
    <w:name w:val="annotation subject"/>
    <w:basedOn w:val="CommentText"/>
    <w:next w:val="CommentText"/>
    <w:link w:val="CommentSubjectChar"/>
    <w:semiHidden/>
    <w:rsid w:val="00DE54A0"/>
    <w:rPr>
      <w:b/>
      <w:bCs/>
    </w:rPr>
  </w:style>
  <w:style w:type="character" w:customStyle="1" w:styleId="CommentSubjectChar">
    <w:name w:val="Comment Subject Char"/>
    <w:link w:val="CommentSubject"/>
    <w:semiHidden/>
    <w:locked/>
    <w:rsid w:val="00DE54A0"/>
    <w:rPr>
      <w:rFonts w:cs="Times New Roman"/>
      <w:b/>
      <w:bCs/>
      <w:sz w:val="20"/>
      <w:szCs w:val="20"/>
    </w:rPr>
  </w:style>
  <w:style w:type="paragraph" w:customStyle="1" w:styleId="msolistparagraph0">
    <w:name w:val="msolistparagraph"/>
    <w:basedOn w:val="Normal"/>
    <w:rsid w:val="00FC2B7E"/>
    <w:pPr>
      <w:ind w:left="720"/>
    </w:pPr>
    <w:rPr>
      <w:rFonts w:ascii="Calibri" w:eastAsia="SimSun" w:hAnsi="Calibri"/>
      <w:sz w:val="22"/>
      <w:szCs w:val="22"/>
      <w:lang w:eastAsia="zh-CN"/>
    </w:rPr>
  </w:style>
  <w:style w:type="paragraph" w:styleId="ListParagraph">
    <w:name w:val="List Paragraph"/>
    <w:basedOn w:val="Normal"/>
    <w:uiPriority w:val="34"/>
    <w:qFormat/>
    <w:rsid w:val="009737F0"/>
    <w:pPr>
      <w:ind w:left="720"/>
    </w:pPr>
  </w:style>
  <w:style w:type="character" w:styleId="Hyperlink">
    <w:name w:val="Hyperlink"/>
    <w:uiPriority w:val="99"/>
    <w:unhideWhenUsed/>
    <w:rsid w:val="00C74E81"/>
    <w:rPr>
      <w:strike w:val="0"/>
      <w:dstrike w:val="0"/>
      <w:color w:val="0088CC"/>
      <w:u w:val="none"/>
      <w:effect w:val="none"/>
    </w:rPr>
  </w:style>
  <w:style w:type="paragraph" w:styleId="BodyText">
    <w:name w:val="Body Text"/>
    <w:basedOn w:val="Normal"/>
    <w:link w:val="BodyTextChar"/>
    <w:rsid w:val="00893150"/>
    <w:pPr>
      <w:spacing w:after="120"/>
    </w:pPr>
  </w:style>
  <w:style w:type="character" w:customStyle="1" w:styleId="BodyTextChar">
    <w:name w:val="Body Text Char"/>
    <w:link w:val="BodyText"/>
    <w:rsid w:val="00893150"/>
    <w:rPr>
      <w:sz w:val="24"/>
      <w:szCs w:val="24"/>
    </w:rPr>
  </w:style>
  <w:style w:type="paragraph" w:customStyle="1" w:styleId="articlel2">
    <w:name w:val="articlel2"/>
    <w:basedOn w:val="Normal"/>
    <w:rsid w:val="00893150"/>
    <w:pPr>
      <w:spacing w:before="100" w:beforeAutospacing="1" w:after="100" w:afterAutospacing="1"/>
    </w:pPr>
    <w:rPr>
      <w:rFonts w:eastAsia="Calibri"/>
    </w:rPr>
  </w:style>
  <w:style w:type="paragraph" w:styleId="FootnoteText">
    <w:name w:val="footnote text"/>
    <w:basedOn w:val="Normal"/>
    <w:link w:val="FootnoteTextChar"/>
    <w:uiPriority w:val="99"/>
    <w:unhideWhenUsed/>
    <w:rsid w:val="00B73108"/>
    <w:rPr>
      <w:rFonts w:ascii="Calibri" w:eastAsia="Calibri" w:hAnsi="Calibri"/>
      <w:sz w:val="20"/>
      <w:szCs w:val="20"/>
      <w:lang w:val="x-none" w:eastAsia="x-none"/>
    </w:rPr>
  </w:style>
  <w:style w:type="character" w:customStyle="1" w:styleId="FootnoteTextChar">
    <w:name w:val="Footnote Text Char"/>
    <w:basedOn w:val="DefaultParagraphFont"/>
    <w:link w:val="FootnoteText"/>
    <w:uiPriority w:val="99"/>
    <w:rsid w:val="00B73108"/>
    <w:rPr>
      <w:rFonts w:ascii="Calibri" w:eastAsia="Calibri" w:hAnsi="Calibri"/>
      <w:lang w:val="x-none" w:eastAsia="x-none"/>
    </w:rPr>
  </w:style>
  <w:style w:type="character" w:styleId="FootnoteReference">
    <w:name w:val="footnote reference"/>
    <w:uiPriority w:val="99"/>
    <w:unhideWhenUsed/>
    <w:rsid w:val="00B731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15FFF-615F-4226-B790-4C917E348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2307</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MEMORANDUM</vt:lpstr>
    </vt:vector>
  </TitlesOfParts>
  <Company>gapsc</Company>
  <LinksUpToDate>false</LinksUpToDate>
  <CharactersWithSpaces>15433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creator>Jamie Barber</dc:creator>
  <cp:lastModifiedBy>AnnMc</cp:lastModifiedBy>
  <cp:revision>2</cp:revision>
  <cp:lastPrinted>2012-11-29T18:37:00Z</cp:lastPrinted>
  <dcterms:created xsi:type="dcterms:W3CDTF">2014-10-30T13:29:00Z</dcterms:created>
  <dcterms:modified xsi:type="dcterms:W3CDTF">2014-10-30T13:29:00Z</dcterms:modified>
</cp:coreProperties>
</file>